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63"/>
        <w:rPr>
          <w:color w:val="000000" w:themeColor="text1"/>
          <w14:textFill>
            <w14:solidFill>
              <w14:schemeClr w14:val="tx1"/>
            </w14:solidFill>
          </w14:textFill>
        </w:rPr>
      </w:pPr>
      <w:bookmarkStart w:id="21" w:name="_GoBack"/>
      <w:bookmarkEnd w:id="21"/>
      <w:r>
        <w:rPr>
          <w:color w:val="000000" w:themeColor="text1"/>
          <w14:textFill>
            <w14:solidFill>
              <w14:schemeClr w14:val="tx1"/>
            </w14:solidFill>
          </w14:textFill>
        </w:rPr>
        <w:t>PATVIRTINTA</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28" w:type="dxa"/>
          </w:tcPr>
          <w:p>
            <w:pPr>
              <w:ind w:left="-113" w:firstLine="6663"/>
              <w:rPr>
                <w:rFonts w:cs="Times New Roman"/>
                <w:color w:val="000000" w:themeColor="text1"/>
                <w14:textFill>
                  <w14:solidFill>
                    <w14:schemeClr w14:val="tx1"/>
                  </w14:solidFill>
                </w14:textFill>
              </w:rPr>
            </w:pPr>
            <w:bookmarkStart w:id="0" w:name="_Hlk41994827"/>
            <w:r>
              <w:rPr>
                <w:rFonts w:cs="Times New Roman"/>
                <w:color w:val="000000" w:themeColor="text1"/>
                <w14:textFill>
                  <w14:solidFill>
                    <w14:schemeClr w14:val="tx1"/>
                  </w14:solidFill>
                </w14:textFill>
              </w:rPr>
              <w:t>Vilniaus miesto savivaldybės</w:t>
            </w:r>
          </w:p>
          <w:p>
            <w:pPr>
              <w:ind w:left="-113" w:firstLine="6663"/>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administracijos direktoriaus</w:t>
            </w:r>
          </w:p>
          <w:p>
            <w:pPr>
              <w:ind w:left="-113" w:firstLine="6663"/>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2021 m. birželio 10  d. </w:t>
            </w:r>
          </w:p>
          <w:p>
            <w:pPr>
              <w:ind w:left="-113" w:firstLine="6663"/>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įsakymu Nr. 30-1559/21</w:t>
            </w:r>
          </w:p>
        </w:tc>
      </w:tr>
    </w:tbl>
    <w:p>
      <w:pPr>
        <w:rPr>
          <w:rFonts w:cs="Times New Roman"/>
          <w:b/>
          <w:bCs/>
          <w:color w:val="000000" w:themeColor="text1"/>
          <w14:textFill>
            <w14:solidFill>
              <w14:schemeClr w14:val="tx1"/>
            </w14:solidFill>
          </w14:textFill>
        </w:rPr>
      </w:pPr>
    </w:p>
    <w:p>
      <w:pPr>
        <w:jc w:val="center"/>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bookmarkStart w:id="1" w:name="_Hlk68793473"/>
      <w:r>
        <w:rPr>
          <w:b/>
          <w:color w:val="000000" w:themeColor="text1"/>
          <w14:textFill>
            <w14:solidFill>
              <w14:schemeClr w14:val="tx1"/>
            </w14:solidFill>
          </w14:textFill>
        </w:rPr>
        <w:t xml:space="preserve">VILNIAUS MIESTO SAVIVALDYBĖS BENDROJO UGDYMO MOKYKLOSE UGDOMŲ </w:t>
      </w:r>
      <w:r>
        <w:rPr>
          <w:rFonts w:cs="Times New Roman"/>
          <w:b/>
          <w:bCs/>
          <w:color w:val="000000" w:themeColor="text1"/>
          <w14:textFill>
            <w14:solidFill>
              <w14:schemeClr w14:val="tx1"/>
            </w14:solidFill>
          </w14:textFill>
        </w:rPr>
        <w:t>SPECIALIŲJŲ UGDYMOSI POREIKIŲ TURINČIŲ VAIKŲ VASAROS DIENOS UŽIMTUMO PASLAUGŲ APRAŠAS</w:t>
      </w:r>
    </w:p>
    <w:bookmarkEnd w:id="1"/>
    <w:p>
      <w:pPr>
        <w:jc w:val="center"/>
        <w:rPr>
          <w:rFonts w:cs="Times New Roman"/>
          <w:b/>
          <w:bCs/>
          <w:color w:val="000000" w:themeColor="text1"/>
          <w14:textFill>
            <w14:solidFill>
              <w14:schemeClr w14:val="tx1"/>
            </w14:solidFill>
          </w14:textFill>
        </w:rPr>
      </w:pPr>
    </w:p>
    <w:bookmarkEnd w:id="0"/>
    <w:p>
      <w:pPr>
        <w:jc w:val="center"/>
        <w:rPr>
          <w:rFonts w:cs="Times New Roman"/>
          <w:b/>
          <w:bCs/>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I SKYRIUS</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BENDROSIOS NUOSTATOS</w:t>
      </w:r>
    </w:p>
    <w:p>
      <w:pPr>
        <w:jc w:val="both"/>
        <w:rPr>
          <w:rFonts w:cs="Times New Roman"/>
          <w:bCs/>
          <w:color w:val="000000" w:themeColor="text1"/>
          <w14:textFill>
            <w14:solidFill>
              <w14:schemeClr w14:val="tx1"/>
            </w14:solidFill>
          </w14:textFill>
        </w:rPr>
      </w:pPr>
    </w:p>
    <w:p>
      <w:pPr>
        <w:numPr>
          <w:ilvl w:val="0"/>
          <w:numId w:val="1"/>
        </w:numPr>
        <w:tabs>
          <w:tab w:val="left" w:pos="0"/>
          <w:tab w:val="left" w:pos="993"/>
        </w:tabs>
        <w:ind w:left="0" w:firstLine="851"/>
        <w:jc w:val="both"/>
        <w:rPr>
          <w:rFonts w:cs="Times New Roman"/>
          <w:bCs/>
          <w:color w:val="000000" w:themeColor="text1"/>
          <w14:textFill>
            <w14:solidFill>
              <w14:schemeClr w14:val="tx1"/>
            </w14:solidFill>
          </w14:textFill>
        </w:rPr>
      </w:pPr>
      <w:bookmarkStart w:id="2" w:name="_Hlk68783722"/>
      <w:r>
        <w:rPr>
          <w:rFonts w:cs="Times New Roman"/>
          <w:bCs/>
          <w:color w:val="000000" w:themeColor="text1"/>
          <w14:textFill>
            <w14:solidFill>
              <w14:schemeClr w14:val="tx1"/>
            </w14:solidFill>
          </w14:textFill>
        </w:rPr>
        <w:t xml:space="preserve">Vilniaus miesto savivaldybės bendrojo ugdymo mokyklose ugdomų specialiųjų ugdymosi poreikių turinčių vaikų vasaros dienos užimtumo paslaugų aprašas (toliau – Aprašas) nustato Vilniaus Šilo specialiojoje mokykloje, Vilniaus „Atgajos“ specialiojoje mokykloje, </w:t>
      </w:r>
      <w:r>
        <w:rPr>
          <w:rFonts w:cs="Times New Roman"/>
          <w:bCs/>
          <w:color w:val="000000" w:themeColor="text1"/>
          <w:shd w:val="clear" w:color="auto" w:fill="FFFFFF"/>
          <w14:textFill>
            <w14:solidFill>
              <w14:schemeClr w14:val="tx1"/>
            </w14:solidFill>
          </w14:textFill>
        </w:rPr>
        <w:t xml:space="preserve">Vilniaus </w:t>
      </w:r>
      <w:r>
        <w:rPr>
          <w:rStyle w:val="9"/>
          <w:rFonts w:cs="Times New Roman"/>
          <w:bCs/>
          <w:i w:val="0"/>
          <w:iCs w:val="0"/>
          <w:color w:val="000000" w:themeColor="text1"/>
          <w:shd w:val="clear" w:color="auto" w:fill="FFFFFF"/>
          <w14:textFill>
            <w14:solidFill>
              <w14:schemeClr w14:val="tx1"/>
            </w14:solidFill>
          </w14:textFill>
        </w:rPr>
        <w:t>Verkių</w:t>
      </w:r>
      <w:r>
        <w:rPr>
          <w:rFonts w:cs="Times New Roman"/>
          <w:bCs/>
          <w:i/>
          <w:iCs/>
          <w:color w:val="000000" w:themeColor="text1"/>
          <w:shd w:val="clear" w:color="auto" w:fill="FFFFFF"/>
          <w14:textFill>
            <w14:solidFill>
              <w14:schemeClr w14:val="tx1"/>
            </w14:solidFill>
          </w14:textFill>
        </w:rPr>
        <w:t xml:space="preserve"> </w:t>
      </w:r>
      <w:r>
        <w:rPr>
          <w:rFonts w:cs="Times New Roman"/>
          <w:bCs/>
          <w:color w:val="000000" w:themeColor="text1"/>
          <w:shd w:val="clear" w:color="auto" w:fill="FFFFFF"/>
          <w14:textFill>
            <w14:solidFill>
              <w14:schemeClr w14:val="tx1"/>
            </w14:solidFill>
          </w14:textFill>
        </w:rPr>
        <w:t xml:space="preserve">mokykloje-daugiafunkciame </w:t>
      </w:r>
      <w:r>
        <w:rPr>
          <w:rStyle w:val="9"/>
          <w:rFonts w:cs="Times New Roman"/>
          <w:bCs/>
          <w:i w:val="0"/>
          <w:iCs w:val="0"/>
          <w:color w:val="000000" w:themeColor="text1"/>
          <w:shd w:val="clear" w:color="auto" w:fill="FFFFFF"/>
          <w14:textFill>
            <w14:solidFill>
              <w14:schemeClr w14:val="tx1"/>
            </w14:solidFill>
          </w14:textFill>
        </w:rPr>
        <w:t>centre</w:t>
      </w:r>
      <w:r>
        <w:rPr>
          <w:rFonts w:cs="Times New Roman"/>
          <w:bCs/>
          <w:color w:val="000000" w:themeColor="text1"/>
          <w14:textFill>
            <w14:solidFill>
              <w14:schemeClr w14:val="tx1"/>
            </w14:solidFill>
          </w14:textFill>
        </w:rPr>
        <w:t xml:space="preserve">, </w:t>
      </w:r>
      <w:r>
        <w:rPr>
          <w:rFonts w:cs="Times New Roman"/>
          <w:bCs/>
          <w:color w:val="000000" w:themeColor="text1"/>
          <w:shd w:val="clear" w:color="auto" w:fill="FFFFFF"/>
          <w14:textFill>
            <w14:solidFill>
              <w14:schemeClr w14:val="tx1"/>
            </w14:solidFill>
          </w14:textFill>
        </w:rPr>
        <w:t>Vilniaus „</w:t>
      </w:r>
      <w:r>
        <w:rPr>
          <w:rStyle w:val="9"/>
          <w:rFonts w:cs="Times New Roman"/>
          <w:bCs/>
          <w:i w:val="0"/>
          <w:iCs w:val="0"/>
          <w:color w:val="000000" w:themeColor="text1"/>
          <w:shd w:val="clear" w:color="auto" w:fill="FFFFFF"/>
          <w14:textFill>
            <w14:solidFill>
              <w14:schemeClr w14:val="tx1"/>
            </w14:solidFill>
          </w14:textFill>
        </w:rPr>
        <w:t>Vilties</w:t>
      </w:r>
      <w:r>
        <w:rPr>
          <w:rFonts w:cs="Times New Roman"/>
          <w:bCs/>
          <w:color w:val="000000" w:themeColor="text1"/>
          <w:shd w:val="clear" w:color="auto" w:fill="FFFFFF"/>
          <w14:textFill>
            <w14:solidFill>
              <w14:schemeClr w14:val="tx1"/>
            </w14:solidFill>
          </w14:textFill>
        </w:rPr>
        <w:t xml:space="preserve">“ specialiojoje </w:t>
      </w:r>
      <w:r>
        <w:rPr>
          <w:rStyle w:val="9"/>
          <w:rFonts w:cs="Times New Roman"/>
          <w:bCs/>
          <w:i w:val="0"/>
          <w:iCs w:val="0"/>
          <w:color w:val="000000" w:themeColor="text1"/>
          <w:shd w:val="clear" w:color="auto" w:fill="FFFFFF"/>
          <w14:textFill>
            <w14:solidFill>
              <w14:schemeClr w14:val="tx1"/>
            </w14:solidFill>
          </w14:textFill>
        </w:rPr>
        <w:t>mokykloje</w:t>
      </w:r>
      <w:r>
        <w:rPr>
          <w:rFonts w:cs="Times New Roman"/>
          <w:bCs/>
          <w:color w:val="000000" w:themeColor="text1"/>
          <w:shd w:val="clear" w:color="auto" w:fill="FFFFFF"/>
          <w14:textFill>
            <w14:solidFill>
              <w14:schemeClr w14:val="tx1"/>
            </w14:solidFill>
          </w14:textFill>
        </w:rPr>
        <w:t xml:space="preserve">-daugiafunkciniame </w:t>
      </w:r>
      <w:r>
        <w:rPr>
          <w:rFonts w:cs="Times New Roman"/>
          <w:bCs/>
          <w:color w:val="000000" w:themeColor="text1"/>
          <w14:textFill>
            <w14:solidFill>
              <w14:schemeClr w14:val="tx1"/>
            </w14:solidFill>
          </w14:textFill>
        </w:rPr>
        <w:t>centre (toliau – mokyklos) besimokančių vaikų vasaros dienos užimtumo paslaugų tikslą ir uždavinius, paslaugų sudėtį, paslaugų teikimo organizavimą ir finansavimą.</w:t>
      </w:r>
    </w:p>
    <w:p>
      <w:pPr>
        <w:numPr>
          <w:ilvl w:val="0"/>
          <w:numId w:val="1"/>
        </w:numPr>
        <w:tabs>
          <w:tab w:val="left" w:pos="0"/>
          <w:tab w:val="left" w:pos="993"/>
        </w:tabs>
        <w:ind w:left="0" w:firstLine="851"/>
        <w:jc w:val="both"/>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Šiuo Aprašu privalo vadovautis mokyklos, organizuojančios vasaros dienos užimtumo paslaugas specialiųjų ugdymosi poreikių turintiems vaikams (toliau – Vasaros dienos užimtumo paslauga).</w:t>
      </w:r>
    </w:p>
    <w:p>
      <w:pPr>
        <w:numPr>
          <w:ilvl w:val="0"/>
          <w:numId w:val="1"/>
        </w:numPr>
        <w:tabs>
          <w:tab w:val="left" w:pos="0"/>
          <w:tab w:val="left" w:pos="993"/>
        </w:tabs>
        <w:ind w:left="0" w:firstLine="851"/>
        <w:jc w:val="both"/>
        <w:rPr>
          <w:rFonts w:cs="Times New Roman"/>
          <w:bCs/>
          <w:color w:val="000000" w:themeColor="text1"/>
          <w14:textFill>
            <w14:solidFill>
              <w14:schemeClr w14:val="tx1"/>
            </w14:solidFill>
          </w14:textFill>
        </w:rPr>
      </w:pPr>
      <w:r>
        <w:rPr>
          <w:rFonts w:cs="Times New Roman"/>
          <w:bCs/>
          <w:color w:val="000000" w:themeColor="text1"/>
          <w14:textFill>
            <w14:solidFill>
              <w14:schemeClr w14:val="tx1"/>
            </w14:solidFill>
          </w14:textFill>
        </w:rPr>
        <w:t>Aprašas parengtas siekiant sudaryti palankias sąlygas organizuoti vaikų vasaros dienos užimtumo paslaugas, plėsti socialinę mokyklų partnerystę, teikti pagalbą šeimai, užtikrinti galimybę vaikų tėvams (globėjams, rūpintojams) dirbti, o vaikams saugiai ir turiningai praleisti laiką vasaros metu ne tik mokyklos patalpose, bet ir kitose ugdymui, edukacijai, kultūrai, poilsiui pritaikytuose erdvėse.</w:t>
      </w:r>
    </w:p>
    <w:bookmarkEnd w:id="2"/>
    <w:p>
      <w:pPr>
        <w:pStyle w:val="16"/>
        <w:numPr>
          <w:ilvl w:val="0"/>
          <w:numId w:val="1"/>
        </w:numPr>
        <w:tabs>
          <w:tab w:val="clear" w:pos="106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paslauga – socialinio poveikio priemonių visuma, užtikrinanti kokybišką dienos užimtumo organizavimą ir teikimą vaikams, turintiems specialiųjų ugdymosi poreikių, ir jų </w:t>
      </w:r>
      <w:r>
        <w:rPr>
          <w:rFonts w:ascii="Times New Roman" w:hAnsi="Times New Roman"/>
          <w:bCs/>
          <w:color w:val="000000" w:themeColor="text1"/>
          <w:sz w:val="24"/>
          <w:szCs w:val="24"/>
          <w14:textFill>
            <w14:solidFill>
              <w14:schemeClr w14:val="tx1"/>
            </w14:solidFill>
          </w14:textFill>
        </w:rPr>
        <w:t>tėvams (globėjams, rūpintojams)</w:t>
      </w:r>
      <w:r>
        <w:rPr>
          <w:rFonts w:ascii="Times New Roman" w:hAnsi="Times New Roman"/>
          <w:color w:val="000000" w:themeColor="text1"/>
          <w:sz w:val="24"/>
          <w:szCs w:val="24"/>
          <w14:textFill>
            <w14:solidFill>
              <w14:schemeClr w14:val="tx1"/>
            </w14:solidFill>
          </w14:textFill>
        </w:rPr>
        <w:t xml:space="preserve">, gerinant jų gyvenimo kokybę bei užtikrinant socialinę integraciją, vadovaujantis galiojančiais teisės aktais. </w:t>
      </w:r>
    </w:p>
    <w:p>
      <w:pPr>
        <w:pStyle w:val="16"/>
        <w:numPr>
          <w:ilvl w:val="0"/>
          <w:numId w:val="1"/>
        </w:numPr>
        <w:tabs>
          <w:tab w:val="clear" w:pos="106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paslaugos tikslas – suteikti pagalbą vaikams ir jų šeimoms, atkurti ir stiprinti šeimų funkcijas, siekiant užtikrinti vaikų gerovę, padėti vaikų tėvams, globėjams, rūpintojams derinti darbo ir šeimos įsipareigojimus, įsitvirtinti bei išsilaikyti darbo rinkoje. </w:t>
      </w:r>
    </w:p>
    <w:p>
      <w:pPr>
        <w:pStyle w:val="16"/>
        <w:numPr>
          <w:ilvl w:val="0"/>
          <w:numId w:val="1"/>
        </w:numPr>
        <w:tabs>
          <w:tab w:val="clear" w:pos="106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paslaugų teikimo principai: </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orientacija į asmenį – teikiant paslaugas atsižvelgiama į vaiko, jo tėvų </w:t>
      </w:r>
      <w:r>
        <w:rPr>
          <w:rFonts w:ascii="Times New Roman" w:hAnsi="Times New Roman"/>
          <w:bCs/>
          <w:color w:val="000000" w:themeColor="text1"/>
          <w:sz w:val="24"/>
          <w:szCs w:val="24"/>
          <w14:textFill>
            <w14:solidFill>
              <w14:schemeClr w14:val="tx1"/>
            </w14:solidFill>
          </w14:textFill>
        </w:rPr>
        <w:t>(globėjų, rūpintojų)</w:t>
      </w:r>
      <w:r>
        <w:rPr>
          <w:rFonts w:ascii="Times New Roman" w:hAnsi="Times New Roman"/>
          <w:color w:val="000000" w:themeColor="text1"/>
          <w:sz w:val="24"/>
          <w:szCs w:val="24"/>
          <w14:textFill>
            <w14:solidFill>
              <w14:schemeClr w14:val="tx1"/>
            </w14:solidFill>
          </w14:textFill>
        </w:rPr>
        <w:t xml:space="preserve"> ir kitų šeimos narių poreikius, lūkesčius ir gebėjimus, pritaikant aplinką vaiko poreikiams;</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dalyvavimo – vaiko, jo tėvų </w:t>
      </w:r>
      <w:r>
        <w:rPr>
          <w:rFonts w:ascii="Times New Roman" w:hAnsi="Times New Roman"/>
          <w:bCs/>
          <w:color w:val="000000" w:themeColor="text1"/>
          <w:sz w:val="24"/>
          <w:szCs w:val="24"/>
          <w14:textFill>
            <w14:solidFill>
              <w14:schemeClr w14:val="tx1"/>
            </w14:solidFill>
          </w14:textFill>
        </w:rPr>
        <w:t>(globėjų, rūpintojų)</w:t>
      </w:r>
      <w:r>
        <w:rPr>
          <w:rFonts w:ascii="Times New Roman" w:hAnsi="Times New Roman"/>
          <w:color w:val="000000" w:themeColor="text1"/>
          <w:sz w:val="24"/>
          <w:szCs w:val="24"/>
          <w14:textFill>
            <w14:solidFill>
              <w14:schemeClr w14:val="tx1"/>
            </w14:solidFill>
          </w14:textFill>
        </w:rPr>
        <w:t xml:space="preserve"> ir kitų šeimos narių įtraukimas į sprendimų, susijusių su vaiko interesais, priėmimo procesus;</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aktyvinimo – didžiausio įmanomo vaikų, turinčių specialiųjų ugdymosi poreikių, užimtumas ir savarankiškumo siekimas jų kasdienėje veikloje; </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adekvatumo – paslaugų teikimas, atsižvelgiant į vaiko gebėjimus bei individualius poreikius;</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prieinamumo – paslaugos teikiamos kuo arčiau asmenų gyvenamosios vietos, turi būti pritaikytos naudotis vaikams, turintiems specialiųjų ugdymosi poreikių; </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bendruomeniškumo – paslaugų teikimas neatsiejamas nuo vietos bendruomenės gyvenimo, ją nuolat įtraukiant į įvairias veiklas; </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bendradarbiavimo – teikiant dienos užimtumo paslaugas bendradarbiaujama su švietimo įstaigomis, vaikų dienos centrais, teritoriniais vaiko teisių apsaugos skyriais, sveikatos apsaugos, teisėsaugos bei kitomis valstybės institucijomis; </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kūrybiškumo – paslaugos skatina vaikų individualių savybių raišką, patyrimą, domėjimąsi, mokymąsi ir pažinimą.</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Apraše vartojamos sąvokos:</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w:t>
      </w:r>
      <w:r>
        <w:rPr>
          <w:rFonts w:ascii="Times New Roman" w:hAnsi="Times New Roman"/>
          <w:b/>
          <w:bCs/>
          <w:color w:val="000000" w:themeColor="text1"/>
          <w:sz w:val="24"/>
          <w:szCs w:val="24"/>
          <w14:textFill>
            <w14:solidFill>
              <w14:schemeClr w14:val="tx1"/>
            </w14:solidFill>
          </w14:textFill>
        </w:rPr>
        <w:t>ocialiai reikšmingo laisvalaikio ir užimtumo veikla</w:t>
      </w:r>
      <w:r>
        <w:rPr>
          <w:rFonts w:ascii="Times New Roman" w:hAnsi="Times New Roman"/>
          <w:color w:val="000000" w:themeColor="text1"/>
          <w:sz w:val="24"/>
          <w:szCs w:val="24"/>
          <w14:textFill>
            <w14:solidFill>
              <w14:schemeClr w14:val="tx1"/>
            </w14:solidFill>
          </w14:textFill>
        </w:rPr>
        <w:t xml:space="preserve"> – vaikų laisvalaikio užimtumas, įtraukiant juos į prasmingas ugdymo, kasdienių įgūdžių lavinimo, saviraiškos skatinimo, meninių, fizinių gabumų lavinimo veiklas;</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socialiniai įgūdžiai</w:t>
      </w:r>
      <w:r>
        <w:rPr>
          <w:rFonts w:ascii="Times New Roman" w:hAnsi="Times New Roman"/>
          <w:color w:val="000000" w:themeColor="text1"/>
          <w:sz w:val="24"/>
          <w:szCs w:val="24"/>
          <w14:textFill>
            <w14:solidFill>
              <w14:schemeClr w14:val="tx1"/>
            </w14:solidFill>
          </w14:textFill>
        </w:rPr>
        <w:t xml:space="preserve"> – asmens savybių ir gebėjimų kompleksas, leidžiantis bendrauti su kitais žmonėmis bendruomenėje, orientuotis artimojoje ir socialinėje aplinkoje, socialinio (verbalinio ir neverbalinio) bendravimo patirtis; </w:t>
      </w:r>
    </w:p>
    <w:p>
      <w:pPr>
        <w:pStyle w:val="16"/>
        <w:numPr>
          <w:ilvl w:val="1"/>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kasdienio gyvenimo įgūdžiai</w:t>
      </w:r>
      <w:r>
        <w:rPr>
          <w:rFonts w:ascii="Times New Roman" w:hAnsi="Times New Roman"/>
          <w:color w:val="000000" w:themeColor="text1"/>
          <w:sz w:val="24"/>
          <w:szCs w:val="24"/>
          <w14:textFill>
            <w14:solidFill>
              <w14:schemeClr w14:val="tx1"/>
            </w14:solidFill>
          </w14:textFill>
        </w:rPr>
        <w:t xml:space="preserve"> – vaiko gebėjimas prisitaikyti visuomenėje ir elgtis tinkamai, atlikti tokius įprastus veiksmus (atsižvelgiant į vaiko amžių), kaip apsipirkti parduotuvėje, pasigaminti maistingo ir sveiko maisto, sutvarkyti savo darbo ar žaidimų vietą, nusiprausti, patenkinti kitus kasdienio gyvenimo poreikius ir susidoroti su problemomis. </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Teikiant Vasaros dienos užimtumo paslaugas bendradarbiaujama su Vilniaus miesto savivaldybės administracija (toliau </w:t>
      </w:r>
      <w:r>
        <w:rPr>
          <w:bCs/>
          <w:color w:val="000000" w:themeColor="text1"/>
          <w14:textFill>
            <w14:solidFill>
              <w14:schemeClr w14:val="tx1"/>
            </w14:solidFill>
          </w14:textFill>
        </w:rPr>
        <w:t xml:space="preserve"> – </w:t>
      </w:r>
      <w:r>
        <w:rPr>
          <w:rFonts w:ascii="Times New Roman" w:hAnsi="Times New Roman"/>
          <w:color w:val="000000" w:themeColor="text1"/>
          <w:sz w:val="24"/>
          <w:szCs w:val="24"/>
          <w14:textFill>
            <w14:solidFill>
              <w14:schemeClr w14:val="tx1"/>
            </w14:solidFill>
          </w14:textFill>
        </w:rPr>
        <w:t xml:space="preserve">Savivaldybės administracija), vaiko tėvais (globėjais, rūpintojais), Valstybės vaiko teisių apsaugos ir įvaikinimo tarnybos prie Socialinės apsaugos ir darbo ministerijos Vilniaus miesto vaiko teisių apsaugos skyriumi, sveikatos, teisėsaugos bei kitomis valstybės institucijomis ir nevyriausybinėmis organizacijomis. </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paslaugos teikimo trukmė yra individualizuota. Paslauga teikiama atsižvelgiant į vaiko, jo tėvų </w:t>
      </w:r>
      <w:r>
        <w:rPr>
          <w:rFonts w:ascii="Times New Roman" w:hAnsi="Times New Roman"/>
          <w:bCs/>
          <w:color w:val="000000" w:themeColor="text1"/>
          <w:sz w:val="24"/>
          <w:szCs w:val="24"/>
          <w14:textFill>
            <w14:solidFill>
              <w14:schemeClr w14:val="tx1"/>
            </w14:solidFill>
          </w14:textFill>
        </w:rPr>
        <w:t>(globėjų, rūpintojų)</w:t>
      </w:r>
      <w:r>
        <w:rPr>
          <w:rFonts w:ascii="Times New Roman" w:hAnsi="Times New Roman"/>
          <w:color w:val="000000" w:themeColor="text1"/>
          <w:sz w:val="24"/>
          <w:szCs w:val="24"/>
          <w14:textFill>
            <w14:solidFill>
              <w14:schemeClr w14:val="tx1"/>
            </w14:solidFill>
          </w14:textFill>
        </w:rPr>
        <w:t xml:space="preserve"> ar kitų šeimos narių poreikius, gali būti teikiama kiekvieną darbo dieną nuo 4 val. iki 10 val. per dieną. </w:t>
      </w:r>
    </w:p>
    <w:p>
      <w:pPr>
        <w:jc w:val="both"/>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 xml:space="preserve">II SKYRIUS </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VASAROS DIENOS UŽIMTUMO PASLAUGŲ ORGANIZAVIMAS</w:t>
      </w:r>
    </w:p>
    <w:p>
      <w:pPr>
        <w:jc w:val="both"/>
        <w:rPr>
          <w:rFonts w:cs="Times New Roman"/>
          <w:b/>
          <w:bCs/>
          <w:color w:val="000000" w:themeColor="text1"/>
          <w14:textFill>
            <w14:solidFill>
              <w14:schemeClr w14:val="tx1"/>
            </w14:solidFill>
          </w14:textFill>
        </w:rPr>
      </w:pP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paslaugų teikimą organizuoja mokyklos.  </w:t>
      </w: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Vilniaus miesto savivaldybės administracija, organizuodama Vasaros dienos užimtumo paslaugų teikimą: </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planuoja ir skiria lėšų dienos užimtumo paslaugoms teikti pagal mokyklų pateiktus planuojamų užimti vaikų skaičius kiekvieną birželio–rugpjūčio mėnesio savaitę;</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vykdo Vasaros dienos užimtumo paslaugų teikimo priežiūrą ir kontrolę; </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viešina informaciją savo interneto svetainėse, socialiniuose tinkluose apie paslaugų teikimą ir galimybes gauti Vasaros dienos užimtumo paslaugas, nurodydama paslaugų teikėjo kontaktus.</w:t>
      </w: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Mokyklos tiesiogiai ir (ar) nuotoliniu būdu (telefonu, elektroniniu paštu, internetu) teikia informaciją asmenims apie teikiamas Vasaros dienos užimtumo paslaugas, galimybes jomis pasinaudoti, Vasaros dienos užimtumo paslaugų organizavimo bei teikimo tvarką.</w:t>
      </w:r>
    </w:p>
    <w:p>
      <w:pPr>
        <w:tabs>
          <w:tab w:val="left" w:pos="1418"/>
        </w:tabs>
        <w:ind w:firstLine="851"/>
        <w:jc w:val="both"/>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 xml:space="preserve">III SKYRIUS </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ASMENYS, TURINTYS TEISĘ GAUTI VASAROS DIENOS UŽIMTUMO PASLAUGĄ</w:t>
      </w:r>
    </w:p>
    <w:p>
      <w:pPr>
        <w:jc w:val="both"/>
        <w:rPr>
          <w:rFonts w:cs="Times New Roman"/>
          <w:color w:val="000000" w:themeColor="text1"/>
          <w14:textFill>
            <w14:solidFill>
              <w14:schemeClr w14:val="tx1"/>
            </w14:solidFill>
          </w14:textFill>
        </w:rPr>
      </w:pP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Vasaros dienos užimtumo paslauga teikiama mokyklose besimokantiems 7–21 metų vaikams, turintiems specialiųjų ugdymosi poreikių.</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Vasaros dienos užimtumo paslauga organizuojama šioms amžiaus grupės vaikams:</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grupė – vaikai nuo 7 iki 11 metų;</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grupė – vaikai nuo 12 iki 21 metų.</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Vasaros dienos užimtumo paslauga organizuojama pasibaigus ugdymo procesui visos vasaros metu.</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Vasaros dienos užimtumo paslauga teikiama, kai mokykloje susidaro didesnė nei 6 vaikų grupė.</w:t>
      </w:r>
    </w:p>
    <w:p>
      <w:pPr>
        <w:jc w:val="both"/>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 xml:space="preserve">IV SKYRIUS </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VASAROS DIENOS UŽIMTUMO PASLAUGŲ SUDĖTIS</w:t>
      </w:r>
    </w:p>
    <w:p>
      <w:pPr>
        <w:jc w:val="center"/>
        <w:rPr>
          <w:rFonts w:cs="Times New Roman"/>
          <w:b/>
          <w:bCs/>
          <w:color w:val="000000" w:themeColor="text1"/>
          <w14:textFill>
            <w14:solidFill>
              <w14:schemeClr w14:val="tx1"/>
            </w14:solidFill>
          </w14:textFill>
        </w:rPr>
      </w:pPr>
    </w:p>
    <w:p>
      <w:pPr>
        <w:pStyle w:val="16"/>
        <w:numPr>
          <w:ilvl w:val="0"/>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Vasaros dienos užimtumo paslaugos veiklos, teikiamos vaikams:</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užimtumas ir priežiūra nuo 4 val. iki 10 val. per dieną;</w:t>
      </w:r>
      <w:bookmarkStart w:id="3" w:name="_Hlk68796108"/>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atvežimo ir parvežimo paslauga;</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 kartų per dieną maitinimas, v</w:t>
      </w:r>
      <w:r>
        <w:rPr>
          <w:rFonts w:ascii="Times New Roman" w:hAnsi="Times New Roman"/>
          <w:color w:val="000000" w:themeColor="text1"/>
          <w:sz w:val="24"/>
          <w:szCs w:val="24"/>
          <w:lang w:eastAsia="lt-LT"/>
          <w14:textFill>
            <w14:solidFill>
              <w14:schemeClr w14:val="tx1"/>
            </w14:solidFill>
          </w14:textFill>
        </w:rPr>
        <w:t>ienos dienos vaiko maitinimo išlaidos produktams – 3,88 Eur;</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vaikams paskirtų vaistų vartojimo priežiūros užtikrinimas;</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savitvarkos ir higienos įgūdžių lavinimas;</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dienos užimtumo užtikrinimas mokyklos patalpose, mokyklos teritorijoje, gamtoje, kitose vietose ir erdvėse;</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kasdienio gyvenimo ir socialinių įgūdžių ugdymas ir palaikymas; </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darbuotojų pagalbos vaikui užtikrinimas;</w:t>
      </w:r>
      <w:bookmarkStart w:id="4" w:name="_Hlk68782694"/>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dienos poilsio laiko užtikrinimas tam numatytos erdvėse;</w:t>
      </w:r>
      <w:bookmarkEnd w:id="4"/>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bendravimas;</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vaikų poreikius atitinkančios, fiziškai ir emociškai saugios aplinkos vaikų žaidimui, augimui, vystymuisi suteikimas;</w:t>
      </w:r>
    </w:p>
    <w:p>
      <w:pPr>
        <w:pStyle w:val="16"/>
        <w:numPr>
          <w:ilvl w:val="1"/>
          <w:numId w:val="2"/>
        </w:numPr>
        <w:tabs>
          <w:tab w:val="left" w:pos="1560"/>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kitų, susijusių su socialiniu-kultūriniu bei fiziniu vaikų aktyvumu, paslaugų užtikrinimas, atsižvelgiant į individualius vaiko poreikius.</w:t>
      </w:r>
    </w:p>
    <w:bookmarkEnd w:id="3"/>
    <w:p>
      <w:pPr>
        <w:ind w:firstLine="851"/>
        <w:jc w:val="both"/>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V SKYRIUS</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VASAROS DIENOS UŽIMTUMO PASLAUGOS ORGANIZAVIMAS IR TEIKIMAS</w:t>
      </w:r>
    </w:p>
    <w:p>
      <w:pPr>
        <w:jc w:val="both"/>
        <w:rPr>
          <w:rFonts w:cs="Times New Roman"/>
          <w:color w:val="000000" w:themeColor="text1"/>
          <w14:textFill>
            <w14:solidFill>
              <w14:schemeClr w14:val="tx1"/>
            </w14:solidFill>
          </w14:textFill>
        </w:rPr>
      </w:pP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Vaiko tėvai </w:t>
      </w:r>
      <w:r>
        <w:rPr>
          <w:rFonts w:ascii="Times New Roman" w:hAnsi="Times New Roman"/>
          <w:bCs/>
          <w:color w:val="000000" w:themeColor="text1"/>
          <w:sz w:val="24"/>
          <w:szCs w:val="24"/>
          <w14:textFill>
            <w14:solidFill>
              <w14:schemeClr w14:val="tx1"/>
            </w14:solidFill>
          </w14:textFill>
        </w:rPr>
        <w:t>(globėjai, rūpintojai),</w:t>
      </w:r>
      <w:r>
        <w:rPr>
          <w:rFonts w:ascii="Times New Roman" w:hAnsi="Times New Roman"/>
          <w:color w:val="000000" w:themeColor="text1"/>
          <w:sz w:val="24"/>
          <w:szCs w:val="24"/>
          <w14:textFill>
            <w14:solidFill>
              <w14:schemeClr w14:val="tx1"/>
            </w14:solidFill>
          </w14:textFill>
        </w:rPr>
        <w:t xml:space="preserve"> vaikui pageidaujant ar pageidaujantys, kad vaikas gautų Vasaros dienos užimtumo paslaugas, specialiajai mokyklai pateikia prašymą (1 priedas) gauti Vasaros dienos užimtumo paslaugas. </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Vasaros dienos užimtumo paslaugų teikėjas užtikrina, kad vaikams ir (arba) jų tėvams (globėjams, rūpintojams), bendruomenei ir suinteresuotoms šalims įvairiomis komunikacijos priemonėmis būtų pateikta išsami ir suprantama informacija apie teikiamą paslaugą ir vykdomą veiklą. </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Su vaiko tėvais (globėjais, rūpintojais) sudaroma Vasaros dienos užimtumo paslaugos teikimo sutartis (2 priedas). Sutartį pasirašo vaiko tėvai (globėjai, rūpintojai) ir dienos užimtumo paslaugos teikėjo vadovas arba jo įgaliotas asmuo. </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Mokyklos privalo </w:t>
      </w:r>
      <w:bookmarkStart w:id="5" w:name="_Hlk68796608"/>
      <w:r>
        <w:rPr>
          <w:rFonts w:ascii="Times New Roman" w:hAnsi="Times New Roman"/>
          <w:color w:val="000000" w:themeColor="text1"/>
          <w:sz w:val="24"/>
          <w:szCs w:val="24"/>
          <w14:textFill>
            <w14:solidFill>
              <w14:schemeClr w14:val="tx1"/>
            </w14:solidFill>
          </w14:textFill>
        </w:rPr>
        <w:t xml:space="preserve">užtikrinti dalyvių sveikatą ir saugumą, </w:t>
      </w:r>
      <w:r>
        <w:rPr>
          <w:rFonts w:ascii="Times New Roman" w:hAnsi="Times New Roman"/>
          <w:color w:val="000000" w:themeColor="text1"/>
          <w:sz w:val="24"/>
          <w:szCs w:val="24"/>
          <w:shd w:val="clear" w:color="auto" w:fill="FFFFFF"/>
          <w14:textFill>
            <w14:solidFill>
              <w14:schemeClr w14:val="tx1"/>
            </w14:solidFill>
          </w14:textFill>
        </w:rPr>
        <w:t>taip pat valstybės lygio ekstremaliosios situacijos operacijų vadovo nustatytas asmenų srautų valdymo, saugaus atstumo laikymosi ir kitas būtinas visuomenės sveikatos saugos, higienos, asmenų aprūpinimo būtinosiomis asmeninėmis apsaugos priemonėmis sąlygas.</w:t>
      </w:r>
      <w:r>
        <w:rPr>
          <w:rFonts w:ascii="Times New Roman" w:hAnsi="Times New Roman"/>
          <w:color w:val="000000" w:themeColor="text1"/>
          <w:sz w:val="24"/>
          <w:szCs w:val="24"/>
          <w14:textFill>
            <w14:solidFill>
              <w14:schemeClr w14:val="tx1"/>
            </w14:solidFill>
          </w14:textFill>
        </w:rPr>
        <w:t xml:space="preserve"> </w:t>
      </w:r>
      <w:bookmarkEnd w:id="5"/>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paslauga vaikui teikiama komandinio darbo metodu. Teikiant Vasaros dienos užimtumo dienos užimtumo paslaugas, vaikui sudaroma galimybė saugiai ir prasmingai praleisti laisvalaikį, ugdant jo kūrybiškumą, meninius, socialinius, kultūrinius, sportinius gebėjimus. Paslaugos turi būti orientuotos į individualius asmens poreikius, dėmesys sutelkiamas į gebėjimus ir galimybes, o ne į vaiko socialinę padėtį, negalią ir apribojimus. Taikant individualizuotus darbo metodus siekti, kad visos paslaugos sudarytų vientisą sistemą, būtų organizuojama kuo įvairesnės užimtumo veiklos, priklausomai nuo jo amžiaus ir poreikių, kad vaikas būtų įtrauktas į prasmingą veiklą, didinant jo funkcionalumą ir skatinant motyvaciją pačiam prisiimti atsakomybę už savo veiksmus bei spręsti iškilusias problemas. </w:t>
      </w:r>
    </w:p>
    <w:p>
      <w:pPr>
        <w:ind w:firstLine="851"/>
        <w:jc w:val="both"/>
        <w:rPr>
          <w:rFonts w:cs="Times New Roman"/>
          <w:color w:val="000000" w:themeColor="text1"/>
          <w14:textFill>
            <w14:solidFill>
              <w14:schemeClr w14:val="tx1"/>
            </w14:solidFill>
          </w14:textFill>
        </w:rPr>
      </w:pPr>
    </w:p>
    <w:p>
      <w:pPr>
        <w:ind w:firstLine="851"/>
        <w:jc w:val="both"/>
        <w:rPr>
          <w:rFonts w:cs="Times New Roman"/>
          <w:color w:val="000000" w:themeColor="text1"/>
          <w14:textFill>
            <w14:solidFill>
              <w14:schemeClr w14:val="tx1"/>
            </w14:solidFill>
          </w14:textFill>
        </w:rPr>
      </w:pPr>
    </w:p>
    <w:p>
      <w:pPr>
        <w:ind w:firstLine="851"/>
        <w:jc w:val="both"/>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 xml:space="preserve">VI SKYRIUS </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PASLAUGŲ TEIKIMO VAIKAMS, TURINTIEMS NEGALIĄ, SPECIFIKA</w:t>
      </w:r>
    </w:p>
    <w:p>
      <w:pPr>
        <w:jc w:val="both"/>
        <w:rPr>
          <w:rFonts w:cs="Times New Roman"/>
          <w:color w:val="000000" w:themeColor="text1"/>
          <w14:textFill>
            <w14:solidFill>
              <w14:schemeClr w14:val="tx1"/>
            </w14:solidFill>
          </w14:textFill>
        </w:rPr>
      </w:pPr>
    </w:p>
    <w:p>
      <w:pPr>
        <w:pStyle w:val="16"/>
        <w:numPr>
          <w:ilvl w:val="0"/>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darbo, laisvalaikio priemonės ir įranga turi būti pritaikytos atsižvelgiant į vaikų, turinčių negalią specialiuosius poreikius: </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užtikrinta pagalba vaikui; </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informacija pateikiama vaikui suprantama kalba, prireikus pasitelkiama alternatyvi komunikacija (paveikslėliai, piktogramos, nuorodos, ir pan.);</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ugdymo priemonės, instrukcijos pritaikytos, atsižvelgiant į vaiko individualius poreikius, galias, gebėjimus ir suvokimo lygį. </w:t>
      </w: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Turi būti užtikrinta vaikams, turintiems negalią, gydytojų paskirtų vaistų vartojimo priežiūra. </w:t>
      </w: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Turi būti užtikrinta saugi ir struktūruota aplinka bei sudarytos sąlygos ramiam dienos užimtumui.</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Turi būti sudarytos galimybės daryti užsiėmimų pertraukas pagal individualius vaiko poreikius.</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Kasdienių paslaugų teikimas turi būti lanksčiai pritaikomas prie esamos vaiko, turinčio negalią, būklės. </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Vaikams, turintiems emocijų ir elgesio sutrikimų, turi būti apibrėžtos ir taikomos elgesio modeliavimo, agresijos prevencijos ir valdymo priemonės, užtikrinant jų ir kitų vaikų, gaunančių paslaugą, teises ir saugumą. </w:t>
      </w:r>
    </w:p>
    <w:p>
      <w:pPr>
        <w:ind w:firstLine="851"/>
        <w:jc w:val="both"/>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 xml:space="preserve">VII SKYRIUS </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PASLAUGŲ FINANSAVIMAS</w:t>
      </w:r>
    </w:p>
    <w:p>
      <w:pPr>
        <w:jc w:val="center"/>
        <w:rPr>
          <w:rFonts w:cs="Times New Roman"/>
          <w:b/>
          <w:bCs/>
          <w:color w:val="000000" w:themeColor="text1"/>
          <w14:textFill>
            <w14:solidFill>
              <w14:schemeClr w14:val="tx1"/>
            </w14:solidFill>
          </w14:textFill>
        </w:rPr>
      </w:pP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bookmarkStart w:id="6" w:name="_Hlk68790102"/>
      <w:r>
        <w:rPr>
          <w:rFonts w:ascii="Times New Roman" w:hAnsi="Times New Roman"/>
          <w:color w:val="000000" w:themeColor="text1"/>
          <w:sz w:val="24"/>
          <w:szCs w:val="24"/>
          <w14:textFill>
            <w14:solidFill>
              <w14:schemeClr w14:val="tx1"/>
            </w14:solidFill>
          </w14:textFill>
        </w:rPr>
        <w:t xml:space="preserve">Vasaros dienos užimtumo paslaugas </w:t>
      </w:r>
      <w:bookmarkEnd w:id="6"/>
      <w:r>
        <w:rPr>
          <w:rFonts w:ascii="Times New Roman" w:hAnsi="Times New Roman"/>
          <w:color w:val="000000" w:themeColor="text1"/>
          <w:sz w:val="24"/>
          <w:szCs w:val="24"/>
          <w14:textFill>
            <w14:solidFill>
              <w14:schemeClr w14:val="tx1"/>
            </w14:solidFill>
          </w14:textFill>
        </w:rPr>
        <w:t>finansuoja Savivaldybės administracija ir vaiko tėvai (globėjai, rūpintojai).</w:t>
      </w:r>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Mokyklose vienos savaitės (5 darbo dienos) vieno vaiko užimtumo organizavimo kaina yra 228 Eur. 70 proc. (159,60 Eur) užimtumo organizavimo lėšų dengia Vilniaus miesto savivaldybė, 30 proc. (68,40 Eur) vaiko tėvai (globėjai, rūpintojai).</w:t>
      </w: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bookmarkStart w:id="7" w:name="_Hlk72418598"/>
      <w:r>
        <w:rPr>
          <w:rFonts w:ascii="Times New Roman" w:hAnsi="Times New Roman"/>
          <w:color w:val="000000" w:themeColor="text1"/>
          <w:sz w:val="24"/>
          <w:szCs w:val="24"/>
          <w14:textFill>
            <w14:solidFill>
              <w14:schemeClr w14:val="tx1"/>
            </w14:solidFill>
          </w14:textFill>
        </w:rPr>
        <w:t xml:space="preserve">Jei vaiko tėvai (globėjai, rūpintojai) nepageidauja, kad vaikui būtų skiriamas maitinimas mokykloje, </w:t>
      </w:r>
      <w:bookmarkEnd w:id="7"/>
      <w:r>
        <w:rPr>
          <w:rFonts w:ascii="Times New Roman" w:hAnsi="Times New Roman"/>
          <w:color w:val="000000" w:themeColor="text1"/>
          <w:sz w:val="24"/>
          <w:szCs w:val="24"/>
          <w14:textFill>
            <w14:solidFill>
              <w14:schemeClr w14:val="tx1"/>
            </w14:solidFill>
          </w14:textFill>
        </w:rPr>
        <w:t xml:space="preserve">teikiant prašymą mokyklos vadovui turi pažymėti, kad </w:t>
      </w:r>
      <w:r>
        <w:rPr>
          <w:rFonts w:ascii="Times New Roman" w:hAnsi="Times New Roman"/>
          <w:iCs/>
          <w:color w:val="000000" w:themeColor="text1"/>
          <w:sz w:val="24"/>
          <w:szCs w:val="24"/>
          <w14:textFill>
            <w14:solidFill>
              <w14:schemeClr w14:val="tx1"/>
            </w14:solidFill>
          </w14:textFill>
        </w:rPr>
        <w:t xml:space="preserve">nepageidauja, jog </w:t>
      </w:r>
      <w:r>
        <w:rPr>
          <w:rFonts w:ascii="Times New Roman" w:hAnsi="Times New Roman"/>
          <w:color w:val="000000" w:themeColor="text1"/>
          <w:sz w:val="24"/>
          <w:szCs w:val="24"/>
          <w14:textFill>
            <w14:solidFill>
              <w14:schemeClr w14:val="tx1"/>
            </w14:solidFill>
          </w14:textFill>
        </w:rPr>
        <w:t xml:space="preserve">Vasaros dienos užimtumo paslaugų metu vaikui būtų teikiamas maitinamas mokykloje. Tokiu atveju vaiko tėvams (globėjams, rūpintojams) vienos savaitės užimtumo kaina mokykloje yra 49,00 Eur. </w:t>
      </w: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Nustatytas Vasaros dienos užimtumo paslaugas savaitės mokestis nekinta, nepriklausomai nuo vaiko lankytų dienų skaičiaus per savaitę, išskyrus Aprašo 34 punkte nustatytus atvejus.</w:t>
      </w:r>
    </w:p>
    <w:p>
      <w:pPr>
        <w:pStyle w:val="16"/>
        <w:numPr>
          <w:ilvl w:val="0"/>
          <w:numId w:val="2"/>
        </w:numPr>
        <w:tabs>
          <w:tab w:val="left" w:pos="1276"/>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Mokestį už</w:t>
      </w:r>
      <w:r>
        <w:rPr>
          <w:rFonts w:ascii="Times New Roman" w:hAnsi="Times New Roman"/>
          <w:i/>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 xml:space="preserve">Vasaros dienos užimtumo paslaugas vaiko tėvai (globėjai, rūpintojai) moka </w:t>
      </w:r>
      <w:bookmarkStart w:id="8" w:name="_Hlk67408659"/>
      <w:r>
        <w:rPr>
          <w:rFonts w:ascii="Times New Roman" w:hAnsi="Times New Roman"/>
          <w:color w:val="000000" w:themeColor="text1"/>
          <w:sz w:val="24"/>
          <w:szCs w:val="24"/>
          <w14:textFill>
            <w14:solidFill>
              <w14:schemeClr w14:val="tx1"/>
            </w14:solidFill>
          </w14:textFill>
        </w:rPr>
        <w:t xml:space="preserve">iš anksto už ateinantį mėnesį iki mėnesio 20 dienos pagal mokyklos pateiktą mokėjimo kvitą. </w:t>
      </w:r>
    </w:p>
    <w:bookmarkEnd w:id="8"/>
    <w:p>
      <w:pPr>
        <w:pStyle w:val="16"/>
        <w:numPr>
          <w:ilvl w:val="0"/>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Mokestis už Vasaros dienos užimtumo paslaugas gali būti perskaičiuojamas ir lėšos grąžinamos šiais atvejais:</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jei vaiko tėvai (globėjai, rūpintojai) informuoja mokyklą apie vaiko Vasaros dienos užimtumo paslaugos nelankymą likus ne mažiau kaip 5 darbo dienoms iki lankymo savaitės pradžios;</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jei vaikas Vasaros dienos užimtumo paslaugos nelankė daugiau nei 5 darbo dienas iš eilės dėl ligos, iš informacinės sistemos „E. sveikata“ pateikus tai patvirtinantį dokumentą, nepažeidžiant Bendrojo duomenų apsaugos reglamento.</w:t>
      </w:r>
    </w:p>
    <w:p>
      <w:pPr>
        <w:pStyle w:val="16"/>
        <w:numPr>
          <w:ilvl w:val="0"/>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Vasaros dienos užimtumo paslaugos organizavimui Savivaldybės administracijos ir vaiko tėvų (globėjų, rūpintojų) lėšos gali būti naudojamos:</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 xml:space="preserve">fizinių ar juridinių asmenų teikiamoms paslaugoms įgyvendinant </w:t>
      </w:r>
      <w:r>
        <w:rPr>
          <w:rFonts w:ascii="Times New Roman" w:hAnsi="Times New Roman"/>
          <w:color w:val="000000" w:themeColor="text1"/>
          <w:sz w:val="24"/>
          <w:szCs w:val="24"/>
          <w14:textFill>
            <w14:solidFill>
              <w14:schemeClr w14:val="tx1"/>
            </w14:solidFill>
          </w14:textFill>
        </w:rPr>
        <w:t>vasaros dienos užimtumo veik</w:t>
      </w:r>
      <w:r>
        <w:rPr>
          <w:rFonts w:ascii="Times New Roman" w:hAnsi="Times New Roman" w:eastAsia="Times New Roman"/>
          <w:color w:val="000000" w:themeColor="text1"/>
          <w:sz w:val="24"/>
          <w:szCs w:val="24"/>
          <w:lang w:eastAsia="lt-LT"/>
          <w14:textFill>
            <w14:solidFill>
              <w14:schemeClr w14:val="tx1"/>
            </w14:solidFill>
          </w14:textFill>
        </w:rPr>
        <w:t>las </w:t>
      </w:r>
      <w:bookmarkStart w:id="9" w:name="part_37bf2febbf754ccfbcb4dcba14790dd1"/>
      <w:bookmarkEnd w:id="9"/>
      <w:r>
        <w:rPr>
          <w:rFonts w:ascii="Times New Roman" w:hAnsi="Times New Roman" w:eastAsia="Times New Roman"/>
          <w:color w:val="000000" w:themeColor="text1"/>
          <w:sz w:val="24"/>
          <w:szCs w:val="24"/>
          <w:lang w:eastAsia="lt-LT"/>
          <w14:textFill>
            <w14:solidFill>
              <w14:schemeClr w14:val="tx1"/>
            </w14:solidFill>
          </w14:textFill>
        </w:rPr>
        <w:t>apmokėti;</w:t>
      </w:r>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 xml:space="preserve">vaikų dalyvavimo </w:t>
      </w:r>
      <w:r>
        <w:rPr>
          <w:rFonts w:ascii="Times New Roman" w:hAnsi="Times New Roman"/>
          <w:color w:val="000000" w:themeColor="text1"/>
          <w:sz w:val="24"/>
          <w:szCs w:val="24"/>
          <w14:textFill>
            <w14:solidFill>
              <w14:schemeClr w14:val="tx1"/>
            </w14:solidFill>
          </w14:textFill>
        </w:rPr>
        <w:t>vasaros dienos užimtumo veik</w:t>
      </w:r>
      <w:r>
        <w:rPr>
          <w:rFonts w:ascii="Times New Roman" w:hAnsi="Times New Roman" w:eastAsia="Times New Roman"/>
          <w:color w:val="000000" w:themeColor="text1"/>
          <w:sz w:val="24"/>
          <w:szCs w:val="24"/>
          <w:lang w:eastAsia="lt-LT"/>
          <w14:textFill>
            <w14:solidFill>
              <w14:schemeClr w14:val="tx1"/>
            </w14:solidFill>
          </w14:textFill>
        </w:rPr>
        <w:t>lose išlaidoms finansuoti;</w:t>
      </w:r>
      <w:bookmarkStart w:id="10" w:name="part_c5c04ba9ab83414bae457f2f1876cdf8"/>
      <w:bookmarkEnd w:id="10"/>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maitinimui;</w:t>
      </w:r>
      <w:bookmarkStart w:id="11" w:name="part_1ef753fc0e56423ca726fde595c88a4a"/>
      <w:bookmarkEnd w:id="11"/>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transporto išlaidoms, degalams;</w:t>
      </w:r>
      <w:bookmarkStart w:id="12" w:name="part_5bb322c39518478b913d6e1774762ed4"/>
      <w:bookmarkEnd w:id="12"/>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 xml:space="preserve">patalpų, tiesiogiai naudojamų </w:t>
      </w:r>
      <w:r>
        <w:rPr>
          <w:rFonts w:ascii="Times New Roman" w:hAnsi="Times New Roman"/>
          <w:color w:val="000000" w:themeColor="text1"/>
          <w:sz w:val="24"/>
          <w:szCs w:val="24"/>
          <w14:textFill>
            <w14:solidFill>
              <w14:schemeClr w14:val="tx1"/>
            </w14:solidFill>
          </w14:textFill>
        </w:rPr>
        <w:t xml:space="preserve">vasaros dienos užimtumo </w:t>
      </w:r>
      <w:r>
        <w:rPr>
          <w:rFonts w:ascii="Times New Roman" w:hAnsi="Times New Roman" w:eastAsia="Times New Roman"/>
          <w:color w:val="000000" w:themeColor="text1"/>
          <w:sz w:val="24"/>
          <w:szCs w:val="24"/>
          <w:lang w:eastAsia="lt-LT"/>
          <w14:textFill>
            <w14:solidFill>
              <w14:schemeClr w14:val="tx1"/>
            </w14:solidFill>
          </w14:textFill>
        </w:rPr>
        <w:t>veikloms vykdyti, nuomos ir komunalinėms, aplinkos ir kitoms išlaidoms veiklų įgyvendinimo laikotarpiu;</w:t>
      </w:r>
      <w:bookmarkStart w:id="13" w:name="part_f206824701734c299e822a143eb38927"/>
      <w:bookmarkEnd w:id="13"/>
    </w:p>
    <w:p>
      <w:pPr>
        <w:pStyle w:val="16"/>
        <w:numPr>
          <w:ilvl w:val="1"/>
          <w:numId w:val="2"/>
        </w:numPr>
        <w:tabs>
          <w:tab w:val="left" w:pos="1418"/>
        </w:tabs>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 xml:space="preserve">išlaidoms, kurios reikalingos </w:t>
      </w:r>
      <w:r>
        <w:rPr>
          <w:rFonts w:ascii="Times New Roman" w:hAnsi="Times New Roman"/>
          <w:color w:val="000000" w:themeColor="text1"/>
          <w:sz w:val="24"/>
          <w:szCs w:val="24"/>
          <w14:textFill>
            <w14:solidFill>
              <w14:schemeClr w14:val="tx1"/>
            </w14:solidFill>
          </w14:textFill>
        </w:rPr>
        <w:t xml:space="preserve">vasaros dienos užimtumo </w:t>
      </w:r>
      <w:r>
        <w:rPr>
          <w:rFonts w:ascii="Times New Roman" w:hAnsi="Times New Roman" w:eastAsia="Times New Roman"/>
          <w:color w:val="000000" w:themeColor="text1"/>
          <w:sz w:val="24"/>
          <w:szCs w:val="24"/>
          <w:lang w:eastAsia="lt-LT"/>
          <w14:textFill>
            <w14:solidFill>
              <w14:schemeClr w14:val="tx1"/>
            </w14:solidFill>
          </w14:textFill>
        </w:rPr>
        <w:t>veikloms vykdyti, prekėms ir paslaugoms įsigyti ar nuomoti.</w:t>
      </w:r>
      <w:bookmarkStart w:id="14" w:name="part_b96b03710fb84db29dab99c6d39fd5d4"/>
      <w:bookmarkEnd w:id="14"/>
    </w:p>
    <w:p>
      <w:pPr>
        <w:pStyle w:val="16"/>
        <w:numPr>
          <w:ilvl w:val="0"/>
          <w:numId w:val="2"/>
        </w:numPr>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Aprašo 36 punkte nurodytos lėšos negali būti naudojamos:</w:t>
      </w:r>
      <w:bookmarkStart w:id="15" w:name="part_d2fa8ec625f643018fadc00286802432"/>
      <w:bookmarkEnd w:id="15"/>
    </w:p>
    <w:p>
      <w:pPr>
        <w:ind w:firstLine="851"/>
        <w:jc w:val="both"/>
        <w:rPr>
          <w:rFonts w:eastAsia="Times New Roman" w:cs="Times New Roman"/>
          <w:color w:val="000000" w:themeColor="text1"/>
          <w:lang w:eastAsia="lt-LT"/>
          <w14:textFill>
            <w14:solidFill>
              <w14:schemeClr w14:val="tx1"/>
            </w14:solidFill>
          </w14:textFill>
        </w:rPr>
      </w:pPr>
      <w:r>
        <w:rPr>
          <w:rFonts w:eastAsia="Times New Roman" w:cs="Times New Roman"/>
          <w:color w:val="000000" w:themeColor="text1"/>
          <w:lang w:eastAsia="lt-LT"/>
          <w14:textFill>
            <w14:solidFill>
              <w14:schemeClr w14:val="tx1"/>
            </w14:solidFill>
          </w14:textFill>
        </w:rPr>
        <w:t>36.1. fizinių asmenų darbo užmokesčiui ir su juo susijusiais privalomais mokėti mokesčiais;</w:t>
      </w:r>
    </w:p>
    <w:p>
      <w:pPr>
        <w:ind w:firstLine="851"/>
        <w:jc w:val="both"/>
        <w:rPr>
          <w:rFonts w:eastAsia="Times New Roman" w:cs="Times New Roman"/>
          <w:color w:val="000000" w:themeColor="text1"/>
          <w:lang w:eastAsia="lt-LT"/>
          <w14:textFill>
            <w14:solidFill>
              <w14:schemeClr w14:val="tx1"/>
            </w14:solidFill>
          </w14:textFill>
        </w:rPr>
      </w:pPr>
      <w:r>
        <w:rPr>
          <w:rFonts w:eastAsia="Times New Roman" w:cs="Times New Roman"/>
          <w:color w:val="000000" w:themeColor="text1"/>
          <w:lang w:eastAsia="lt-LT"/>
          <w14:textFill>
            <w14:solidFill>
              <w14:schemeClr w14:val="tx1"/>
            </w14:solidFill>
          </w14:textFill>
        </w:rPr>
        <w:t>36.2. rekonstrukcijos, remonto, statybos išlaidoms padengti ir ilgalaikiam turtui įsigyti;</w:t>
      </w:r>
    </w:p>
    <w:p>
      <w:pPr>
        <w:ind w:firstLine="851"/>
        <w:jc w:val="both"/>
        <w:rPr>
          <w:rFonts w:cs="Times New Roman"/>
          <w:color w:val="000000" w:themeColor="text1"/>
          <w14:textFill>
            <w14:solidFill>
              <w14:schemeClr w14:val="tx1"/>
            </w14:solidFill>
          </w14:textFill>
        </w:rPr>
      </w:pPr>
      <w:r>
        <w:rPr>
          <w:rFonts w:eastAsia="Times New Roman" w:cs="Times New Roman"/>
          <w:color w:val="000000" w:themeColor="text1"/>
          <w:lang w:eastAsia="lt-LT"/>
          <w14:textFill>
            <w14:solidFill>
              <w14:schemeClr w14:val="tx1"/>
            </w14:solidFill>
          </w14:textFill>
        </w:rPr>
        <w:t>36.3. įsiskolinimams padengti;</w:t>
      </w:r>
      <w:bookmarkStart w:id="16" w:name="part_9374402e95fa4dcf8af4674ef5909bc2"/>
      <w:bookmarkEnd w:id="16"/>
    </w:p>
    <w:p>
      <w:pPr>
        <w:ind w:firstLine="851"/>
        <w:jc w:val="both"/>
        <w:rPr>
          <w:rFonts w:eastAsia="Times New Roman" w:cs="Times New Roman"/>
          <w:color w:val="000000" w:themeColor="text1"/>
          <w:lang w:eastAsia="lt-LT"/>
          <w14:textFill>
            <w14:solidFill>
              <w14:schemeClr w14:val="tx1"/>
            </w14:solidFill>
          </w14:textFill>
        </w:rPr>
      </w:pPr>
      <w:r>
        <w:rPr>
          <w:rFonts w:eastAsia="Times New Roman" w:cs="Times New Roman"/>
          <w:color w:val="000000" w:themeColor="text1"/>
          <w:lang w:eastAsia="lt-LT"/>
          <w14:textFill>
            <w14:solidFill>
              <w14:schemeClr w14:val="tx1"/>
            </w14:solidFill>
          </w14:textFill>
        </w:rPr>
        <w:t>36.4. išlaidoms, susijusioms su lizingo, išperkamosios nuomos sutartimis;</w:t>
      </w:r>
      <w:bookmarkStart w:id="17" w:name="part_0ea020c1f66b4eed9c10f0cdcd611909"/>
      <w:bookmarkEnd w:id="17"/>
    </w:p>
    <w:p>
      <w:pPr>
        <w:ind w:firstLine="851"/>
        <w:jc w:val="both"/>
        <w:rPr>
          <w:rFonts w:cs="Times New Roman"/>
          <w:color w:val="000000" w:themeColor="text1"/>
          <w14:textFill>
            <w14:solidFill>
              <w14:schemeClr w14:val="tx1"/>
            </w14:solidFill>
          </w14:textFill>
        </w:rPr>
      </w:pPr>
      <w:r>
        <w:rPr>
          <w:rFonts w:eastAsia="Times New Roman" w:cs="Times New Roman"/>
          <w:color w:val="000000" w:themeColor="text1"/>
          <w:lang w:eastAsia="lt-LT"/>
          <w14:textFill>
            <w14:solidFill>
              <w14:schemeClr w14:val="tx1"/>
            </w14:solidFill>
          </w14:textFill>
        </w:rPr>
        <w:t>36.5.išlaidoms, skirtoms Vilniaus miesto savivaldybės administracijos ir (arba) valstybės finansuojamų neformaliojo vaikų švietimo programoms, įskaitant ir formalųjį švietimą papildančio ugdymo programas, įgyvendinti;</w:t>
      </w:r>
      <w:bookmarkStart w:id="18" w:name="part_b697a8d3475349ab86b3c3f1aa2ee0e8"/>
      <w:bookmarkEnd w:id="18"/>
    </w:p>
    <w:p>
      <w:pPr>
        <w:pStyle w:val="16"/>
        <w:spacing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lang w:eastAsia="lt-LT"/>
          <w14:textFill>
            <w14:solidFill>
              <w14:schemeClr w14:val="tx1"/>
            </w14:solidFill>
          </w14:textFill>
        </w:rPr>
        <w:t xml:space="preserve">36.6. </w:t>
      </w:r>
      <w:r>
        <w:rPr>
          <w:rFonts w:ascii="Times New Roman" w:hAnsi="Times New Roman" w:eastAsia="Times New Roman"/>
          <w:color w:val="000000" w:themeColor="text1"/>
          <w:sz w:val="24"/>
          <w:szCs w:val="24"/>
          <w:shd w:val="clear" w:color="auto" w:fill="FFFFFF"/>
          <w:lang w:eastAsia="lt-LT"/>
          <w14:textFill>
            <w14:solidFill>
              <w14:schemeClr w14:val="tx1"/>
            </w14:solidFill>
          </w14:textFill>
        </w:rPr>
        <w:t xml:space="preserve">išlaidoms, kurios finansuotos iš kitų Lietuvos Respublikos valstybės biudžeto ar Vilniaus miesto savivaldybės administracijos biudžetų lėšų, įskaitant </w:t>
      </w:r>
      <w:r>
        <w:rPr>
          <w:rFonts w:ascii="Times New Roman" w:hAnsi="Times New Roman" w:eastAsia="Times New Roman"/>
          <w:color w:val="000000" w:themeColor="text1"/>
          <w:sz w:val="24"/>
          <w:szCs w:val="24"/>
          <w:lang w:eastAsia="lt-LT"/>
          <w14:textFill>
            <w14:solidFill>
              <w14:schemeClr w14:val="tx1"/>
            </w14:solidFill>
          </w14:textFill>
        </w:rPr>
        <w:t>Europos Sąjungos finansinės paramos ir kitos gaunamos finansinės paramos bei bendrojo finansavimo lėšas.</w:t>
      </w:r>
    </w:p>
    <w:p>
      <w:pPr>
        <w:ind w:firstLine="851"/>
        <w:jc w:val="both"/>
        <w:textAlignment w:val="baseline"/>
        <w:rPr>
          <w:rFonts w:eastAsia="Times New Roman" w:cs="Times New Roman"/>
          <w:color w:val="000000" w:themeColor="text1"/>
          <w:lang w:eastAsia="lt-LT"/>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VIII SKYRIUS</w:t>
      </w:r>
    </w:p>
    <w:p>
      <w:pPr>
        <w:widowControl w:val="0"/>
        <w:autoSpaceDE w:val="0"/>
        <w:autoSpaceDN w:val="0"/>
        <w:adjustRightInd w:val="0"/>
        <w:jc w:val="center"/>
        <w:rPr>
          <w:rFonts w:cs="Times New Roman"/>
          <w:b/>
          <w:bCs/>
          <w:color w:val="000000" w:themeColor="text1"/>
          <w14:textFill>
            <w14:solidFill>
              <w14:schemeClr w14:val="tx1"/>
            </w14:solidFill>
          </w14:textFill>
        </w:rPr>
      </w:pPr>
      <w:r>
        <w:rPr>
          <w:rFonts w:cs="Times New Roman"/>
          <w:b/>
          <w:color w:val="000000" w:themeColor="text1"/>
          <w14:textFill>
            <w14:solidFill>
              <w14:schemeClr w14:val="tx1"/>
            </w14:solidFill>
          </w14:textFill>
        </w:rPr>
        <w:t>ATSISKAITYMAS UŽ GAUTŲ LĖŠŲ PANAUDOJIMĄ IR</w:t>
      </w:r>
      <w:r>
        <w:rPr>
          <w:rFonts w:cs="Times New Roman"/>
          <w:color w:val="000000" w:themeColor="text1"/>
          <w14:textFill>
            <w14:solidFill>
              <w14:schemeClr w14:val="tx1"/>
            </w14:solidFill>
          </w14:textFill>
        </w:rPr>
        <w:t xml:space="preserve"> </w:t>
      </w:r>
      <w:r>
        <w:rPr>
          <w:rFonts w:cs="Times New Roman"/>
          <w:b/>
          <w:bCs/>
          <w:color w:val="000000" w:themeColor="text1"/>
          <w14:textFill>
            <w14:solidFill>
              <w14:schemeClr w14:val="tx1"/>
            </w14:solidFill>
          </w14:textFill>
        </w:rPr>
        <w:t>VASAROS DIENOS UŽIMTUMO PASLAUGOS PRIEŽIŪRĄ</w:t>
      </w:r>
    </w:p>
    <w:p>
      <w:pPr>
        <w:jc w:val="both"/>
        <w:rPr>
          <w:rFonts w:cs="Times New Roman"/>
          <w:color w:val="000000" w:themeColor="text1"/>
          <w14:textFill>
            <w14:solidFill>
              <w14:schemeClr w14:val="tx1"/>
            </w14:solidFill>
          </w14:textFill>
        </w:rPr>
      </w:pPr>
    </w:p>
    <w:p>
      <w:pPr>
        <w:pStyle w:val="16"/>
        <w:widowControl w:val="0"/>
        <w:numPr>
          <w:ilvl w:val="0"/>
          <w:numId w:val="2"/>
        </w:numPr>
        <w:tabs>
          <w:tab w:val="left" w:pos="852"/>
          <w:tab w:val="left" w:pos="1276"/>
        </w:tabs>
        <w:autoSpaceDE w:val="0"/>
        <w:adjustRightInd w:val="0"/>
        <w:spacing w:after="0" w:line="240" w:lineRule="auto"/>
        <w:ind w:left="0" w:firstLine="851"/>
        <w:jc w:val="both"/>
        <w:rPr>
          <w:rStyle w:val="13"/>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Finansavimą gavusios mokyklos iki gruodžio 5 dienos už gautų lėšų panaudojimą atsiskaito Savivaldybės administracijai, pateikdamos</w:t>
      </w:r>
      <w:r>
        <w:rPr>
          <w:rStyle w:val="13"/>
          <w:rFonts w:ascii="Times New Roman" w:hAnsi="Times New Roman"/>
          <w:b w:val="0"/>
          <w:bCs w:val="0"/>
          <w:color w:val="000000" w:themeColor="text1"/>
          <w:sz w:val="24"/>
          <w:szCs w:val="24"/>
          <w14:textFill>
            <w14:solidFill>
              <w14:schemeClr w14:val="tx1"/>
            </w14:solidFill>
          </w14:textFill>
        </w:rPr>
        <w:t>:</w:t>
      </w:r>
    </w:p>
    <w:p>
      <w:pPr>
        <w:pStyle w:val="16"/>
        <w:widowControl w:val="0"/>
        <w:numPr>
          <w:ilvl w:val="1"/>
          <w:numId w:val="2"/>
        </w:numPr>
        <w:tabs>
          <w:tab w:val="left" w:pos="852"/>
          <w:tab w:val="left" w:pos="1418"/>
        </w:tabs>
        <w:autoSpaceDE w:val="0"/>
        <w:adjustRightInd w:val="0"/>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pirminius finansinius dokumentus;</w:t>
      </w:r>
    </w:p>
    <w:p>
      <w:pPr>
        <w:pStyle w:val="16"/>
        <w:widowControl w:val="0"/>
        <w:numPr>
          <w:ilvl w:val="1"/>
          <w:numId w:val="2"/>
        </w:numPr>
        <w:tabs>
          <w:tab w:val="left" w:pos="852"/>
          <w:tab w:val="left" w:pos="1418"/>
        </w:tabs>
        <w:autoSpaceDE w:val="0"/>
        <w:adjustRightInd w:val="0"/>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vasaros dienos užimtumo paslaugos veiklos ataskaitą (3 priedas); </w:t>
      </w:r>
    </w:p>
    <w:p>
      <w:pPr>
        <w:pStyle w:val="16"/>
        <w:widowControl w:val="0"/>
        <w:numPr>
          <w:ilvl w:val="1"/>
          <w:numId w:val="2"/>
        </w:numPr>
        <w:tabs>
          <w:tab w:val="left" w:pos="852"/>
          <w:tab w:val="left" w:pos="1418"/>
        </w:tabs>
        <w:autoSpaceDE w:val="0"/>
        <w:adjustRightInd w:val="0"/>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mokyklos vadovo pasirašytą Vasaros dienos užimtumo paslaugą gavusių vaikų sąrašą (4 priedas). Sąraše prie kiekvieno vaiko būtina nurodyti, kiek dienų vaikui buvo teikiama Vasaros dienos užimtumo paslauga.  </w:t>
      </w:r>
    </w:p>
    <w:p>
      <w:pPr>
        <w:pStyle w:val="16"/>
        <w:widowControl w:val="0"/>
        <w:numPr>
          <w:ilvl w:val="0"/>
          <w:numId w:val="2"/>
        </w:numPr>
        <w:tabs>
          <w:tab w:val="left" w:pos="852"/>
          <w:tab w:val="left" w:pos="1418"/>
        </w:tabs>
        <w:autoSpaceDE w:val="0"/>
        <w:adjustRightInd w:val="0"/>
        <w:spacing w:after="0" w:line="240" w:lineRule="auto"/>
        <w:ind w:left="0" w:firstLine="851"/>
        <w:jc w:val="both"/>
        <w:rPr>
          <w:rStyle w:val="12"/>
          <w:rFonts w:ascii="Times New Roman" w:hAnsi="Times New Roman"/>
          <w:color w:val="000000" w:themeColor="text1"/>
          <w:sz w:val="24"/>
          <w:szCs w:val="24"/>
          <w:u w:val="none"/>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Mokyklos, šio Aprašo 37.2 ir 37.3 ir papunkčiuose išvardytus dokumentus pateikia </w:t>
      </w:r>
      <w:r>
        <w:rPr>
          <w:rStyle w:val="13"/>
          <w:rFonts w:ascii="Times New Roman" w:hAnsi="Times New Roman"/>
          <w:b w:val="0"/>
          <w:bCs w:val="0"/>
          <w:color w:val="000000" w:themeColor="text1"/>
          <w:sz w:val="24"/>
          <w:szCs w:val="24"/>
          <w14:textFill>
            <w14:solidFill>
              <w14:schemeClr w14:val="tx1"/>
            </w14:solidFill>
          </w14:textFill>
        </w:rPr>
        <w:t>elektroniniu būdu per Savivaldybės administracijos elektroninių paslaugų valdymo sistemą</w:t>
      </w:r>
      <w:r>
        <w:rPr>
          <w:rFonts w:ascii="Times New Roman" w:hAnsi="Times New Roman"/>
          <w:color w:val="000000" w:themeColor="text1"/>
          <w:sz w:val="24"/>
          <w:szCs w:val="24"/>
          <w14:textFill>
            <w14:solidFill>
              <w14:schemeClr w14:val="tx1"/>
            </w14:solidFill>
          </w14:textFill>
        </w:rPr>
        <w:t xml:space="preserve"> </w:t>
      </w:r>
      <w:r>
        <w:fldChar w:fldCharType="begin"/>
      </w:r>
      <w:r>
        <w:instrText xml:space="preserve"> HYPERLINK "http://www.vilnius.lt" </w:instrText>
      </w:r>
      <w:r>
        <w:fldChar w:fldCharType="separate"/>
      </w:r>
      <w:r>
        <w:rPr>
          <w:rStyle w:val="12"/>
          <w:rFonts w:ascii="Times New Roman" w:hAnsi="Times New Roman"/>
          <w:color w:val="000000" w:themeColor="text1"/>
          <w:sz w:val="24"/>
          <w:szCs w:val="24"/>
          <w:u w:val="none"/>
          <w14:textFill>
            <w14:solidFill>
              <w14:schemeClr w14:val="tx1"/>
            </w14:solidFill>
          </w14:textFill>
        </w:rPr>
        <w:t>www.vilnius.lt</w:t>
      </w:r>
      <w:r>
        <w:rPr>
          <w:rStyle w:val="12"/>
          <w:rFonts w:ascii="Times New Roman" w:hAnsi="Times New Roman"/>
          <w:color w:val="000000" w:themeColor="text1"/>
          <w:sz w:val="24"/>
          <w:szCs w:val="24"/>
          <w:u w:val="none"/>
          <w14:textFill>
            <w14:solidFill>
              <w14:schemeClr w14:val="tx1"/>
            </w14:solidFill>
          </w14:textFill>
        </w:rPr>
        <w:fldChar w:fldCharType="end"/>
      </w:r>
      <w:r>
        <w:rPr>
          <w:rStyle w:val="12"/>
          <w:rFonts w:ascii="Times New Roman" w:hAnsi="Times New Roman"/>
          <w:color w:val="000000" w:themeColor="text1"/>
          <w:sz w:val="24"/>
          <w:szCs w:val="24"/>
          <w:u w:val="none"/>
          <w14:textFill>
            <w14:solidFill>
              <w14:schemeClr w14:val="tx1"/>
            </w14:solidFill>
          </w14:textFill>
        </w:rPr>
        <w:t>.</w:t>
      </w:r>
    </w:p>
    <w:p>
      <w:pPr>
        <w:pStyle w:val="16"/>
        <w:widowControl w:val="0"/>
        <w:numPr>
          <w:ilvl w:val="0"/>
          <w:numId w:val="2"/>
        </w:numPr>
        <w:tabs>
          <w:tab w:val="left" w:pos="852"/>
        </w:tabs>
        <w:autoSpaceDE w:val="0"/>
        <w:adjustRightInd w:val="0"/>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Aprašo 37.1 papunktyje nurodyti dokumentai pateikiami biudžetinei įstaigai „Biudžetinių įstaigų buhalterinė apskaita“. Mokykla, vykdanti savarankišką buhalterinę apskaitą, dokumentus teikia tiesiogiai Savivaldybės administracijos Apskaitos skyriaus Administracijos apskaitos poskyriui.</w:t>
      </w:r>
    </w:p>
    <w:p>
      <w:pPr>
        <w:pStyle w:val="16"/>
        <w:widowControl w:val="0"/>
        <w:numPr>
          <w:ilvl w:val="0"/>
          <w:numId w:val="2"/>
        </w:numPr>
        <w:tabs>
          <w:tab w:val="left" w:pos="852"/>
        </w:tabs>
        <w:autoSpaceDE w:val="0"/>
        <w:adjustRightInd w:val="0"/>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Nepanaudotos lėšos iki einamųjų metų gruodžio 5 dienos turi būti grąžinamos į Savivaldybės administracijos sąskaitą.</w:t>
      </w:r>
    </w:p>
    <w:p>
      <w:pPr>
        <w:pStyle w:val="16"/>
        <w:widowControl w:val="0"/>
        <w:numPr>
          <w:ilvl w:val="0"/>
          <w:numId w:val="2"/>
        </w:numPr>
        <w:tabs>
          <w:tab w:val="left" w:pos="852"/>
        </w:tabs>
        <w:autoSpaceDE w:val="0"/>
        <w:adjustRightInd w:val="0"/>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Lėšos turi būti naudojamos šiame Apraše apibrėžtai veiklai organizuoti. Lėšos, panaudotos ne Apraše nurodytai veiklai, Lietuvos Respublikos teisės aktų nustatyta tvarka išieškomos </w:t>
      </w:r>
      <w:bookmarkStart w:id="19" w:name="OLE_LINK3"/>
      <w:bookmarkStart w:id="20" w:name="OLE_LINK2"/>
      <w:r>
        <w:rPr>
          <w:rFonts w:ascii="Times New Roman" w:hAnsi="Times New Roman"/>
          <w:color w:val="000000" w:themeColor="text1"/>
          <w:sz w:val="24"/>
          <w:szCs w:val="24"/>
          <w14:textFill>
            <w14:solidFill>
              <w14:schemeClr w14:val="tx1"/>
            </w14:solidFill>
          </w14:textFill>
        </w:rPr>
        <w:t>Savivaldybės administracijai</w:t>
      </w:r>
      <w:bookmarkEnd w:id="19"/>
      <w:bookmarkEnd w:id="20"/>
      <w:r>
        <w:rPr>
          <w:rFonts w:ascii="Times New Roman" w:hAnsi="Times New Roman"/>
          <w:color w:val="000000" w:themeColor="text1"/>
          <w:sz w:val="24"/>
          <w:szCs w:val="24"/>
          <w14:textFill>
            <w14:solidFill>
              <w14:schemeClr w14:val="tx1"/>
            </w14:solidFill>
          </w14:textFill>
        </w:rPr>
        <w:t xml:space="preserve">. </w:t>
      </w:r>
    </w:p>
    <w:p>
      <w:pPr>
        <w:pStyle w:val="16"/>
        <w:widowControl w:val="0"/>
        <w:numPr>
          <w:ilvl w:val="0"/>
          <w:numId w:val="2"/>
        </w:numPr>
        <w:tabs>
          <w:tab w:val="left" w:pos="852"/>
        </w:tabs>
        <w:autoSpaceDE w:val="0"/>
        <w:adjustRightInd w:val="0"/>
        <w:spacing w:after="0" w:line="240" w:lineRule="auto"/>
        <w:ind w:left="0"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Jei finansavimą gavusi mokykla nepateikia finansinių ataskaitų apie lėšų panaudojimą ir nevykdo kitų reikalavimų, nustatytų šiame Apraše, finansavimas gali būti sustabdytas, o lėšos teisės aktų nustatyta tvarka išieškomos. </w:t>
      </w:r>
    </w:p>
    <w:p>
      <w:pPr>
        <w:widowControl w:val="0"/>
        <w:tabs>
          <w:tab w:val="left" w:pos="852"/>
        </w:tabs>
        <w:autoSpaceDE w:val="0"/>
        <w:adjustRightInd w:val="0"/>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w:t>
      </w:r>
    </w:p>
    <w:p>
      <w:pPr>
        <w:jc w:val="both"/>
        <w:rPr>
          <w:rFonts w:cs="Times New Roman"/>
          <w:color w:val="000000" w:themeColor="text1"/>
          <w14:textFill>
            <w14:solidFill>
              <w14:schemeClr w14:val="tx1"/>
            </w14:solidFill>
          </w14:textFill>
        </w:rPr>
      </w:pPr>
    </w:p>
    <w:p>
      <w:pPr>
        <w:jc w:val="both"/>
        <w:rPr>
          <w:rFonts w:cs="Times New Roman"/>
          <w:color w:val="000000" w:themeColor="text1"/>
          <w14:textFill>
            <w14:solidFill>
              <w14:schemeClr w14:val="tx1"/>
            </w14:solidFill>
          </w14:textFill>
        </w:rPr>
      </w:pPr>
    </w:p>
    <w:p>
      <w:pPr>
        <w:jc w:val="both"/>
        <w:rPr>
          <w:rFonts w:cs="Times New Roman"/>
          <w:color w:val="000000" w:themeColor="text1"/>
          <w14:textFill>
            <w14:solidFill>
              <w14:schemeClr w14:val="tx1"/>
            </w14:solidFill>
          </w14:textFill>
        </w:rPr>
      </w:pPr>
    </w:p>
    <w:p>
      <w:pPr>
        <w:jc w:val="both"/>
        <w:rPr>
          <w:rFonts w:cs="Times New Roman"/>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IX SKYRIUS</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BAIGIAMOSIOS NUOSTATOS</w:t>
      </w:r>
    </w:p>
    <w:p>
      <w:pPr>
        <w:jc w:val="center"/>
        <w:rPr>
          <w:rFonts w:cs="Times New Roman"/>
          <w:b/>
          <w:bCs/>
          <w:color w:val="000000" w:themeColor="text1"/>
          <w14:textFill>
            <w14:solidFill>
              <w14:schemeClr w14:val="tx1"/>
            </w14:solidFill>
          </w14:textFill>
        </w:rPr>
      </w:pPr>
    </w:p>
    <w:p>
      <w:pPr>
        <w:ind w:firstLine="851"/>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43. Vykdant Aprašo nuostatas,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pPr>
        <w:ind w:firstLine="851"/>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44. Asmenys, pažeidę Aprašo reikalavimus, atsako teisės aktų nustatyta tvarka.</w:t>
      </w:r>
    </w:p>
    <w:p>
      <w:pPr>
        <w:ind w:firstLine="851"/>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45. Veiksmai ir sprendimai, priimti  įgyvendinant Aprašą, gali būti skundžiami teisės aktų nustatyta tvarka.</w:t>
      </w:r>
    </w:p>
    <w:p>
      <w:pPr>
        <w:ind w:firstLine="851"/>
        <w:jc w:val="both"/>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46.Vasaros dienos užimtumo paslaugos turi būti viešai skelbiamos ir informacija nuolat atnaujinama.</w:t>
      </w:r>
    </w:p>
    <w:p>
      <w:pPr>
        <w:spacing w:line="276" w:lineRule="auto"/>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______________________________________</w:t>
      </w:r>
    </w:p>
    <w:sectPr>
      <w:headerReference r:id="rId5" w:type="default"/>
      <w:pgSz w:w="11906" w:h="16838"/>
      <w:pgMar w:top="1134" w:right="567" w:bottom="1560" w:left="1701" w:header="567" w:footer="567" w:gutter="0"/>
      <w:cols w:space="1296"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616990"/>
      <w:docPartObj>
        <w:docPartGallery w:val="AutoText"/>
      </w:docPartObj>
    </w:sdtPr>
    <w:sdtContent>
      <w:p>
        <w:pPr>
          <w:pStyle w:val="11"/>
          <w:jc w:val="center"/>
        </w:pPr>
        <w:r>
          <w:fldChar w:fldCharType="begin"/>
        </w:r>
        <w:r>
          <w:instrText xml:space="preserve">PAGE   \* MERGEFORMAT</w:instrText>
        </w:r>
        <w:r>
          <w:fldChar w:fldCharType="separate"/>
        </w:r>
        <w:r>
          <w:t>2</w:t>
        </w:r>
        <w: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456E9"/>
    <w:multiLevelType w:val="multilevel"/>
    <w:tmpl w:val="2B1456E9"/>
    <w:lvl w:ilvl="0" w:tentative="0">
      <w:start w:val="6"/>
      <w:numFmt w:val="decimal"/>
      <w:lvlText w:val="%1."/>
      <w:lvlJc w:val="left"/>
      <w:pPr>
        <w:ind w:left="2487" w:hanging="360"/>
      </w:pPr>
      <w:rPr>
        <w:rFonts w:hint="default"/>
        <w:b w:val="0"/>
        <w:bCs w:val="0"/>
      </w:rPr>
    </w:lvl>
    <w:lvl w:ilvl="1" w:tentative="0">
      <w:start w:val="1"/>
      <w:numFmt w:val="decimal"/>
      <w:lvlText w:val="%1.%2."/>
      <w:lvlJc w:val="left"/>
      <w:pPr>
        <w:ind w:left="142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720"/>
      </w:pPr>
      <w:rPr>
        <w:rFonts w:hint="default"/>
      </w:rPr>
    </w:lvl>
    <w:lvl w:ilvl="4" w:tentative="0">
      <w:start w:val="1"/>
      <w:numFmt w:val="decimal"/>
      <w:lvlText w:val="%1.%2.%3.%4.%5."/>
      <w:lvlJc w:val="left"/>
      <w:pPr>
        <w:ind w:left="5352" w:hanging="1080"/>
      </w:pPr>
      <w:rPr>
        <w:rFonts w:hint="default"/>
      </w:rPr>
    </w:lvl>
    <w:lvl w:ilvl="5" w:tentative="0">
      <w:start w:val="1"/>
      <w:numFmt w:val="decimal"/>
      <w:lvlText w:val="%1.%2.%3.%4.%5.%6."/>
      <w:lvlJc w:val="left"/>
      <w:pPr>
        <w:ind w:left="6420" w:hanging="1080"/>
      </w:pPr>
      <w:rPr>
        <w:rFonts w:hint="default"/>
      </w:rPr>
    </w:lvl>
    <w:lvl w:ilvl="6" w:tentative="0">
      <w:start w:val="1"/>
      <w:numFmt w:val="decimal"/>
      <w:lvlText w:val="%1.%2.%3.%4.%5.%6.%7."/>
      <w:lvlJc w:val="left"/>
      <w:pPr>
        <w:ind w:left="7848" w:hanging="1440"/>
      </w:pPr>
      <w:rPr>
        <w:rFonts w:hint="default"/>
      </w:rPr>
    </w:lvl>
    <w:lvl w:ilvl="7" w:tentative="0">
      <w:start w:val="1"/>
      <w:numFmt w:val="decimal"/>
      <w:lvlText w:val="%1.%2.%3.%4.%5.%6.%7.%8."/>
      <w:lvlJc w:val="left"/>
      <w:pPr>
        <w:ind w:left="8916" w:hanging="1440"/>
      </w:pPr>
      <w:rPr>
        <w:rFonts w:hint="default"/>
      </w:rPr>
    </w:lvl>
    <w:lvl w:ilvl="8" w:tentative="0">
      <w:start w:val="1"/>
      <w:numFmt w:val="decimal"/>
      <w:lvlText w:val="%1.%2.%3.%4.%5.%6.%7.%8.%9."/>
      <w:lvlJc w:val="left"/>
      <w:pPr>
        <w:ind w:left="10344" w:hanging="1800"/>
      </w:pPr>
      <w:rPr>
        <w:rFonts w:hint="default"/>
      </w:rPr>
    </w:lvl>
  </w:abstractNum>
  <w:abstractNum w:abstractNumId="1">
    <w:nsid w:val="56901DCC"/>
    <w:multiLevelType w:val="multilevel"/>
    <w:tmpl w:val="56901DCC"/>
    <w:lvl w:ilvl="0" w:tentative="0">
      <w:start w:val="1"/>
      <w:numFmt w:val="decimal"/>
      <w:lvlText w:val="%1."/>
      <w:lvlJc w:val="left"/>
      <w:pPr>
        <w:tabs>
          <w:tab w:val="left" w:pos="1068"/>
        </w:tabs>
        <w:ind w:left="1068" w:hanging="360"/>
      </w:pPr>
      <w:rPr>
        <w:rFonts w:cs="Times New Roman"/>
        <w:b w:val="0"/>
        <w:strike w:val="0"/>
        <w:dstrike w:val="0"/>
        <w:color w:val="00000A"/>
        <w:szCs w:val="22"/>
      </w:rPr>
    </w:lvl>
    <w:lvl w:ilvl="1" w:tentative="0">
      <w:start w:val="2"/>
      <w:numFmt w:val="upperRoman"/>
      <w:lvlText w:val="%2."/>
      <w:lvlJc w:val="left"/>
      <w:pPr>
        <w:tabs>
          <w:tab w:val="left" w:pos="2160"/>
        </w:tabs>
        <w:ind w:left="2160" w:hanging="720"/>
      </w:pPr>
      <w:rPr>
        <w:rFonts w:cs="Times New Roman"/>
        <w:b/>
      </w:rPr>
    </w:lvl>
    <w:lvl w:ilvl="2" w:tentative="0">
      <w:start w:val="1"/>
      <w:numFmt w:val="decimal"/>
      <w:lvlText w:val="%3."/>
      <w:lvlJc w:val="left"/>
      <w:pPr>
        <w:tabs>
          <w:tab w:val="left" w:pos="720"/>
        </w:tabs>
        <w:ind w:left="720" w:hanging="360"/>
      </w:pPr>
      <w:rPr>
        <w:rFonts w:cs="Times New Roman"/>
      </w:rPr>
    </w:lvl>
    <w:lvl w:ilvl="3" w:tentative="0">
      <w:start w:val="1"/>
      <w:numFmt w:val="decimal"/>
      <w:lvlText w:val="%2.%3.%4."/>
      <w:lvlJc w:val="left"/>
      <w:pPr>
        <w:tabs>
          <w:tab w:val="left" w:pos="3600"/>
        </w:tabs>
        <w:ind w:left="3600" w:hanging="72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296"/>
  <w:hyphenationZone w:val="396"/>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FD"/>
    <w:rsid w:val="00004078"/>
    <w:rsid w:val="000505CC"/>
    <w:rsid w:val="00061B14"/>
    <w:rsid w:val="00062FC0"/>
    <w:rsid w:val="0009192B"/>
    <w:rsid w:val="000A6DF4"/>
    <w:rsid w:val="000B58AA"/>
    <w:rsid w:val="000C0BCA"/>
    <w:rsid w:val="000D4365"/>
    <w:rsid w:val="000E21EF"/>
    <w:rsid w:val="000F005A"/>
    <w:rsid w:val="0011472E"/>
    <w:rsid w:val="001361DE"/>
    <w:rsid w:val="001422AE"/>
    <w:rsid w:val="00145F2B"/>
    <w:rsid w:val="00160E21"/>
    <w:rsid w:val="00172D8B"/>
    <w:rsid w:val="00176972"/>
    <w:rsid w:val="001900DD"/>
    <w:rsid w:val="001B430B"/>
    <w:rsid w:val="001C719B"/>
    <w:rsid w:val="001D2660"/>
    <w:rsid w:val="001F13F8"/>
    <w:rsid w:val="0022584F"/>
    <w:rsid w:val="0022746B"/>
    <w:rsid w:val="00230408"/>
    <w:rsid w:val="00244C85"/>
    <w:rsid w:val="00265145"/>
    <w:rsid w:val="002A0496"/>
    <w:rsid w:val="002E37E3"/>
    <w:rsid w:val="003566C1"/>
    <w:rsid w:val="00377823"/>
    <w:rsid w:val="0038367E"/>
    <w:rsid w:val="003A5385"/>
    <w:rsid w:val="003A6CC3"/>
    <w:rsid w:val="003B32C0"/>
    <w:rsid w:val="003E32EF"/>
    <w:rsid w:val="003E7227"/>
    <w:rsid w:val="003F1F59"/>
    <w:rsid w:val="003F4B9C"/>
    <w:rsid w:val="004147A8"/>
    <w:rsid w:val="00415A6E"/>
    <w:rsid w:val="0045115D"/>
    <w:rsid w:val="00482079"/>
    <w:rsid w:val="004829C4"/>
    <w:rsid w:val="004952E3"/>
    <w:rsid w:val="00504F65"/>
    <w:rsid w:val="00550214"/>
    <w:rsid w:val="005503A1"/>
    <w:rsid w:val="00577AB3"/>
    <w:rsid w:val="00594610"/>
    <w:rsid w:val="005E15F1"/>
    <w:rsid w:val="00611E9F"/>
    <w:rsid w:val="00646DCB"/>
    <w:rsid w:val="00651B56"/>
    <w:rsid w:val="00661817"/>
    <w:rsid w:val="006702FD"/>
    <w:rsid w:val="00687607"/>
    <w:rsid w:val="006A6AFB"/>
    <w:rsid w:val="006C734C"/>
    <w:rsid w:val="006D5196"/>
    <w:rsid w:val="006E1BA3"/>
    <w:rsid w:val="006F1908"/>
    <w:rsid w:val="00700CF0"/>
    <w:rsid w:val="00704DA5"/>
    <w:rsid w:val="007120CA"/>
    <w:rsid w:val="00722EBD"/>
    <w:rsid w:val="0075659E"/>
    <w:rsid w:val="007804A0"/>
    <w:rsid w:val="00786DA0"/>
    <w:rsid w:val="007956CF"/>
    <w:rsid w:val="00795FAE"/>
    <w:rsid w:val="007B1210"/>
    <w:rsid w:val="007C3D5D"/>
    <w:rsid w:val="007C618E"/>
    <w:rsid w:val="007F2B0B"/>
    <w:rsid w:val="007F5C72"/>
    <w:rsid w:val="00846566"/>
    <w:rsid w:val="0087504A"/>
    <w:rsid w:val="00893AAE"/>
    <w:rsid w:val="008A2E50"/>
    <w:rsid w:val="008A75E7"/>
    <w:rsid w:val="008B1004"/>
    <w:rsid w:val="008D2A6C"/>
    <w:rsid w:val="008D385E"/>
    <w:rsid w:val="008D4FBE"/>
    <w:rsid w:val="008D57C6"/>
    <w:rsid w:val="008E18CD"/>
    <w:rsid w:val="008E3F85"/>
    <w:rsid w:val="008F79A1"/>
    <w:rsid w:val="00905D1F"/>
    <w:rsid w:val="00955F2C"/>
    <w:rsid w:val="00964F33"/>
    <w:rsid w:val="00967D42"/>
    <w:rsid w:val="009B6122"/>
    <w:rsid w:val="009D3F4A"/>
    <w:rsid w:val="009F26E4"/>
    <w:rsid w:val="00A175C5"/>
    <w:rsid w:val="00A67182"/>
    <w:rsid w:val="00AA2408"/>
    <w:rsid w:val="00AA4FCB"/>
    <w:rsid w:val="00AC3E6B"/>
    <w:rsid w:val="00AC7746"/>
    <w:rsid w:val="00AE0291"/>
    <w:rsid w:val="00B33E29"/>
    <w:rsid w:val="00B56048"/>
    <w:rsid w:val="00B602F6"/>
    <w:rsid w:val="00B62974"/>
    <w:rsid w:val="00BA5980"/>
    <w:rsid w:val="00BB4DDF"/>
    <w:rsid w:val="00BC6078"/>
    <w:rsid w:val="00C029A7"/>
    <w:rsid w:val="00C04F35"/>
    <w:rsid w:val="00C654DA"/>
    <w:rsid w:val="00CB36A0"/>
    <w:rsid w:val="00CD0ADE"/>
    <w:rsid w:val="00CD35E5"/>
    <w:rsid w:val="00CF1B80"/>
    <w:rsid w:val="00CF4B47"/>
    <w:rsid w:val="00D014AE"/>
    <w:rsid w:val="00D67393"/>
    <w:rsid w:val="00D809A0"/>
    <w:rsid w:val="00DB4DEE"/>
    <w:rsid w:val="00DF1A69"/>
    <w:rsid w:val="00DF26AD"/>
    <w:rsid w:val="00E63B2F"/>
    <w:rsid w:val="00E865F0"/>
    <w:rsid w:val="00EA0256"/>
    <w:rsid w:val="00EA7842"/>
    <w:rsid w:val="00EB2F52"/>
    <w:rsid w:val="00F01829"/>
    <w:rsid w:val="00F1794A"/>
    <w:rsid w:val="00F25D05"/>
    <w:rsid w:val="00F30936"/>
    <w:rsid w:val="00F31AEF"/>
    <w:rsid w:val="00F71F3A"/>
    <w:rsid w:val="00FA5912"/>
    <w:rsid w:val="00FD70C9"/>
    <w:rsid w:val="00FF673D"/>
    <w:rsid w:val="1FF859D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4"/>
      <w:szCs w:val="24"/>
      <w:lang w:val="lt-LT" w:eastAsia="en-US" w:bidi="ar-SA"/>
    </w:rPr>
  </w:style>
  <w:style w:type="paragraph" w:styleId="2">
    <w:name w:val="heading 1"/>
    <w:basedOn w:val="1"/>
    <w:next w:val="1"/>
    <w:link w:val="15"/>
    <w:qFormat/>
    <w:uiPriority w:val="0"/>
    <w:pPr>
      <w:keepNext/>
      <w:jc w:val="center"/>
      <w:outlineLvl w:val="0"/>
    </w:pPr>
    <w:rPr>
      <w:rFonts w:eastAsia="Times New Roman" w:cs="Times New Roman"/>
      <w:szCs w:val="20"/>
      <w:lang w:val="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semiHidden/>
    <w:unhideWhenUsed/>
    <w:uiPriority w:val="99"/>
    <w:rPr>
      <w:rFonts w:ascii="Segoe UI" w:hAnsi="Segoe UI" w:cs="Segoe UI"/>
      <w:sz w:val="18"/>
      <w:szCs w:val="18"/>
    </w:rPr>
  </w:style>
  <w:style w:type="character" w:styleId="6">
    <w:name w:val="annotation reference"/>
    <w:basedOn w:val="3"/>
    <w:semiHidden/>
    <w:unhideWhenUsed/>
    <w:uiPriority w:val="99"/>
    <w:rPr>
      <w:sz w:val="16"/>
      <w:szCs w:val="16"/>
    </w:rPr>
  </w:style>
  <w:style w:type="paragraph" w:styleId="7">
    <w:name w:val="annotation text"/>
    <w:basedOn w:val="1"/>
    <w:link w:val="20"/>
    <w:semiHidden/>
    <w:unhideWhenUsed/>
    <w:uiPriority w:val="99"/>
    <w:rPr>
      <w:sz w:val="20"/>
      <w:szCs w:val="20"/>
    </w:rPr>
  </w:style>
  <w:style w:type="paragraph" w:styleId="8">
    <w:name w:val="annotation subject"/>
    <w:basedOn w:val="7"/>
    <w:next w:val="7"/>
    <w:link w:val="21"/>
    <w:semiHidden/>
    <w:unhideWhenUsed/>
    <w:uiPriority w:val="99"/>
    <w:rPr>
      <w:b/>
      <w:bCs/>
    </w:rPr>
  </w:style>
  <w:style w:type="character" w:styleId="9">
    <w:name w:val="Emphasis"/>
    <w:basedOn w:val="3"/>
    <w:qFormat/>
    <w:uiPriority w:val="20"/>
    <w:rPr>
      <w:i/>
      <w:iCs/>
    </w:rPr>
  </w:style>
  <w:style w:type="paragraph" w:styleId="10">
    <w:name w:val="footer"/>
    <w:basedOn w:val="1"/>
    <w:link w:val="19"/>
    <w:unhideWhenUsed/>
    <w:uiPriority w:val="99"/>
    <w:pPr>
      <w:tabs>
        <w:tab w:val="center" w:pos="4513"/>
        <w:tab w:val="right" w:pos="9026"/>
      </w:tabs>
    </w:pPr>
  </w:style>
  <w:style w:type="paragraph" w:styleId="11">
    <w:name w:val="header"/>
    <w:basedOn w:val="1"/>
    <w:link w:val="18"/>
    <w:unhideWhenUsed/>
    <w:uiPriority w:val="99"/>
    <w:pPr>
      <w:tabs>
        <w:tab w:val="center" w:pos="4513"/>
        <w:tab w:val="right" w:pos="9026"/>
      </w:tabs>
    </w:pPr>
  </w:style>
  <w:style w:type="character" w:styleId="12">
    <w:name w:val="Hyperlink"/>
    <w:uiPriority w:val="0"/>
    <w:rPr>
      <w:color w:val="0000FF"/>
      <w:u w:val="single"/>
    </w:rPr>
  </w:style>
  <w:style w:type="character" w:styleId="13">
    <w:name w:val="Strong"/>
    <w:qFormat/>
    <w:uiPriority w:val="0"/>
    <w:rPr>
      <w:b/>
      <w:bCs/>
    </w:rPr>
  </w:style>
  <w:style w:type="table" w:styleId="14">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Antraštė 1 Diagrama"/>
    <w:basedOn w:val="3"/>
    <w:link w:val="2"/>
    <w:uiPriority w:val="0"/>
    <w:rPr>
      <w:rFonts w:ascii="Times New Roman" w:hAnsi="Times New Roman" w:eastAsia="Times New Roman" w:cs="Times New Roman"/>
      <w:sz w:val="24"/>
      <w:szCs w:val="20"/>
      <w:lang w:val="zh-CN"/>
    </w:rPr>
  </w:style>
  <w:style w:type="paragraph" w:styleId="16">
    <w:name w:val="List Paragraph"/>
    <w:basedOn w:val="1"/>
    <w:qFormat/>
    <w:uiPriority w:val="34"/>
    <w:pPr>
      <w:suppressAutoHyphens/>
      <w:autoSpaceDN w:val="0"/>
      <w:spacing w:after="160" w:line="251" w:lineRule="auto"/>
      <w:ind w:left="720"/>
      <w:textAlignment w:val="baseline"/>
    </w:pPr>
    <w:rPr>
      <w:rFonts w:ascii="Calibri" w:hAnsi="Calibri" w:eastAsia="Calibri" w:cs="Times New Roman"/>
      <w:sz w:val="22"/>
      <w:szCs w:val="22"/>
    </w:rPr>
  </w:style>
  <w:style w:type="character" w:customStyle="1" w:styleId="17">
    <w:name w:val="Debesėlio tekstas Diagrama"/>
    <w:basedOn w:val="3"/>
    <w:link w:val="5"/>
    <w:semiHidden/>
    <w:uiPriority w:val="99"/>
    <w:rPr>
      <w:rFonts w:ascii="Segoe UI" w:hAnsi="Segoe UI" w:cs="Segoe UI"/>
      <w:sz w:val="18"/>
      <w:szCs w:val="18"/>
    </w:rPr>
  </w:style>
  <w:style w:type="character" w:customStyle="1" w:styleId="18">
    <w:name w:val="Antraštės Diagrama"/>
    <w:basedOn w:val="3"/>
    <w:link w:val="11"/>
    <w:uiPriority w:val="99"/>
    <w:rPr>
      <w:rFonts w:ascii="Times New Roman" w:hAnsi="Times New Roman"/>
      <w:sz w:val="24"/>
      <w:szCs w:val="24"/>
    </w:rPr>
  </w:style>
  <w:style w:type="character" w:customStyle="1" w:styleId="19">
    <w:name w:val="Poraštė Diagrama"/>
    <w:basedOn w:val="3"/>
    <w:link w:val="10"/>
    <w:uiPriority w:val="99"/>
    <w:rPr>
      <w:rFonts w:ascii="Times New Roman" w:hAnsi="Times New Roman"/>
      <w:sz w:val="24"/>
      <w:szCs w:val="24"/>
    </w:rPr>
  </w:style>
  <w:style w:type="character" w:customStyle="1" w:styleId="20">
    <w:name w:val="Komentaro tekstas Diagrama"/>
    <w:basedOn w:val="3"/>
    <w:link w:val="7"/>
    <w:semiHidden/>
    <w:uiPriority w:val="99"/>
    <w:rPr>
      <w:rFonts w:ascii="Times New Roman" w:hAnsi="Times New Roman"/>
      <w:sz w:val="20"/>
      <w:szCs w:val="20"/>
    </w:rPr>
  </w:style>
  <w:style w:type="character" w:customStyle="1" w:styleId="21">
    <w:name w:val="Komentaro tema Diagrama"/>
    <w:basedOn w:val="20"/>
    <w:link w:val="8"/>
    <w:semiHidden/>
    <w:uiPriority w:val="99"/>
    <w:rPr>
      <w:rFonts w:ascii="Times New Roman" w:hAnsi="Times New Roman"/>
      <w:b/>
      <w:bCs/>
      <w:sz w:val="20"/>
      <w:szCs w:val="20"/>
    </w:rPr>
  </w:style>
  <w:style w:type="paragraph" w:customStyle="1" w:styleId="22">
    <w:name w:val="Įprastasis1"/>
    <w:uiPriority w:val="0"/>
    <w:pPr>
      <w:suppressAutoHyphens/>
      <w:autoSpaceDN w:val="0"/>
      <w:spacing w:after="0" w:line="240" w:lineRule="auto"/>
      <w:textAlignment w:val="baseline"/>
    </w:pPr>
    <w:rPr>
      <w:rFonts w:ascii="Times New Roman" w:hAnsi="Times New Roman" w:eastAsia="Calibri" w:cs="Times New Roman"/>
      <w:sz w:val="24"/>
      <w:szCs w:val="24"/>
      <w:lang w:val="lt-LT"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10062</Words>
  <Characters>5736</Characters>
  <Lines>47</Lines>
  <Paragraphs>31</Paragraphs>
  <TotalTime>26</TotalTime>
  <ScaleCrop>false</ScaleCrop>
  <LinksUpToDate>false</LinksUpToDate>
  <CharactersWithSpaces>15767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2021-06-02T14:00:00Z</dcterms:created>
  <dc:creator>Marius Labanauskas</dc:creator>
  <cp:lastModifiedBy>Renata Buividavičienė</cp:lastModifiedBy>
  <dcterms:modified xsi:type="dcterms:W3CDTF">2023-06-06T08:10:35Z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A2FA84EF644A416F96C2336BB6266E08</vt:lpwstr>
  </property>
</Properties>
</file>